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A4060">
      <w:pPr>
        <w:spacing w:line="246" w:lineRule="auto"/>
        <w:rPr>
          <w:rFonts w:ascii="Arial"/>
          <w:sz w:val="21"/>
        </w:rPr>
      </w:pPr>
    </w:p>
    <w:p w14:paraId="7652DFBE">
      <w:pPr>
        <w:spacing w:line="246" w:lineRule="auto"/>
        <w:rPr>
          <w:rFonts w:ascii="Arial"/>
          <w:sz w:val="21"/>
        </w:rPr>
      </w:pPr>
    </w:p>
    <w:p w14:paraId="4371E459">
      <w:pPr>
        <w:spacing w:line="246" w:lineRule="auto"/>
        <w:rPr>
          <w:rFonts w:ascii="Arial"/>
          <w:sz w:val="21"/>
        </w:rPr>
      </w:pPr>
    </w:p>
    <w:p w14:paraId="2B121158">
      <w:pPr>
        <w:spacing w:line="246" w:lineRule="auto"/>
        <w:rPr>
          <w:rFonts w:ascii="Arial"/>
          <w:sz w:val="21"/>
        </w:rPr>
      </w:pPr>
    </w:p>
    <w:p w14:paraId="6BC7A4EF">
      <w:pPr>
        <w:spacing w:line="247" w:lineRule="auto"/>
        <w:rPr>
          <w:rFonts w:ascii="Arial"/>
          <w:sz w:val="21"/>
        </w:rPr>
      </w:pPr>
    </w:p>
    <w:p w14:paraId="67E54DD0">
      <w:pPr>
        <w:spacing w:line="247" w:lineRule="auto"/>
        <w:rPr>
          <w:rFonts w:ascii="Arial"/>
          <w:sz w:val="21"/>
        </w:rPr>
      </w:pPr>
    </w:p>
    <w:p w14:paraId="7D6807AA">
      <w:pPr>
        <w:spacing w:line="247" w:lineRule="auto"/>
        <w:rPr>
          <w:rFonts w:ascii="Arial"/>
          <w:sz w:val="21"/>
        </w:rPr>
      </w:pPr>
    </w:p>
    <w:p w14:paraId="0A1EB660">
      <w:pPr>
        <w:spacing w:line="247" w:lineRule="auto"/>
        <w:rPr>
          <w:rFonts w:ascii="Arial"/>
          <w:sz w:val="21"/>
        </w:rPr>
      </w:pPr>
    </w:p>
    <w:p w14:paraId="595C694F">
      <w:pPr>
        <w:spacing w:line="247" w:lineRule="auto"/>
        <w:rPr>
          <w:rFonts w:ascii="Arial"/>
          <w:sz w:val="21"/>
        </w:rPr>
      </w:pPr>
    </w:p>
    <w:p w14:paraId="273B0938">
      <w:pPr>
        <w:spacing w:line="247" w:lineRule="auto"/>
        <w:rPr>
          <w:rFonts w:ascii="Arial"/>
          <w:sz w:val="21"/>
        </w:rPr>
      </w:pPr>
    </w:p>
    <w:p w14:paraId="74FE8A53">
      <w:pPr>
        <w:spacing w:line="247" w:lineRule="auto"/>
        <w:rPr>
          <w:rFonts w:ascii="Arial"/>
          <w:sz w:val="21"/>
        </w:rPr>
      </w:pPr>
    </w:p>
    <w:p w14:paraId="11667FA7">
      <w:pPr>
        <w:spacing w:before="153" w:line="221" w:lineRule="auto"/>
        <w:jc w:val="both"/>
        <w:rPr>
          <w:rFonts w:hint="eastAsia" w:ascii="仿宋" w:hAnsi="仿宋" w:eastAsia="仿宋" w:cs="仿宋"/>
          <w:color w:val="212626"/>
          <w:spacing w:val="7"/>
          <w:sz w:val="47"/>
          <w:szCs w:val="47"/>
          <w:lang w:val="en-US" w:eastAsia="zh-CN"/>
        </w:rPr>
      </w:pPr>
    </w:p>
    <w:p w14:paraId="2A860900">
      <w:pPr>
        <w:spacing w:before="153" w:line="221" w:lineRule="auto"/>
        <w:jc w:val="center"/>
        <w:rPr>
          <w:rFonts w:ascii="仿宋" w:hAnsi="仿宋" w:eastAsia="仿宋" w:cs="仿宋"/>
          <w:sz w:val="47"/>
          <w:szCs w:val="47"/>
        </w:rPr>
      </w:pPr>
      <w:r>
        <w:rPr>
          <w:rFonts w:hint="eastAsia" w:ascii="仿宋" w:hAnsi="仿宋" w:eastAsia="仿宋" w:cs="仿宋"/>
          <w:color w:val="212626"/>
          <w:spacing w:val="7"/>
          <w:sz w:val="47"/>
          <w:szCs w:val="47"/>
          <w:lang w:val="en-US" w:eastAsia="zh-CN"/>
        </w:rPr>
        <w:t>杭州申联宝塑实业有限公司</w:t>
      </w:r>
    </w:p>
    <w:p w14:paraId="170FAC26">
      <w:pPr>
        <w:spacing w:line="407" w:lineRule="auto"/>
        <w:rPr>
          <w:rFonts w:ascii="Arial"/>
          <w:sz w:val="21"/>
        </w:rPr>
      </w:pPr>
    </w:p>
    <w:p w14:paraId="7BA553A9">
      <w:pPr>
        <w:spacing w:before="153" w:line="221" w:lineRule="auto"/>
        <w:jc w:val="center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color w:val="212626"/>
          <w:spacing w:val="1"/>
          <w:sz w:val="47"/>
          <w:szCs w:val="47"/>
        </w:rPr>
        <w:t>20</w:t>
      </w:r>
      <w:r>
        <w:rPr>
          <w:rFonts w:ascii="仿宋" w:hAnsi="仿宋" w:eastAsia="仿宋" w:cs="仿宋"/>
          <w:color w:val="212626"/>
          <w:sz w:val="47"/>
          <w:szCs w:val="47"/>
        </w:rPr>
        <w:t>2</w:t>
      </w:r>
      <w:r>
        <w:rPr>
          <w:rFonts w:hint="eastAsia" w:ascii="仿宋" w:hAnsi="仿宋" w:eastAsia="仿宋" w:cs="仿宋"/>
          <w:color w:val="212626"/>
          <w:sz w:val="47"/>
          <w:szCs w:val="47"/>
          <w:lang w:val="en-US" w:eastAsia="zh-CN"/>
        </w:rPr>
        <w:t>4</w:t>
      </w:r>
      <w:r>
        <w:rPr>
          <w:rFonts w:ascii="仿宋" w:hAnsi="仿宋" w:eastAsia="仿宋" w:cs="仿宋"/>
          <w:color w:val="212626"/>
          <w:sz w:val="47"/>
          <w:szCs w:val="47"/>
        </w:rPr>
        <w:t>年度</w:t>
      </w:r>
    </w:p>
    <w:p w14:paraId="56BED7B6">
      <w:pPr>
        <w:spacing w:line="407" w:lineRule="auto"/>
        <w:rPr>
          <w:rFonts w:ascii="Arial"/>
          <w:sz w:val="21"/>
        </w:rPr>
      </w:pPr>
    </w:p>
    <w:p w14:paraId="2479BA6D">
      <w:pPr>
        <w:spacing w:before="153" w:line="221" w:lineRule="auto"/>
        <w:jc w:val="center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color w:val="212626"/>
          <w:spacing w:val="8"/>
          <w:sz w:val="47"/>
          <w:szCs w:val="47"/>
        </w:rPr>
        <w:t>产品碳足迹评价报</w:t>
      </w:r>
      <w:r>
        <w:rPr>
          <w:rFonts w:ascii="仿宋" w:hAnsi="仿宋" w:eastAsia="仿宋" w:cs="仿宋"/>
          <w:color w:val="212626"/>
          <w:spacing w:val="7"/>
          <w:sz w:val="47"/>
          <w:szCs w:val="47"/>
        </w:rPr>
        <w:t>告</w:t>
      </w:r>
    </w:p>
    <w:p w14:paraId="2EC324FD">
      <w:pPr>
        <w:spacing w:line="249" w:lineRule="auto"/>
        <w:rPr>
          <w:rFonts w:ascii="Arial"/>
          <w:sz w:val="21"/>
        </w:rPr>
      </w:pPr>
    </w:p>
    <w:p w14:paraId="5DF9A903">
      <w:pPr>
        <w:spacing w:line="249" w:lineRule="auto"/>
        <w:rPr>
          <w:rFonts w:ascii="Arial"/>
          <w:sz w:val="21"/>
        </w:rPr>
      </w:pPr>
    </w:p>
    <w:p w14:paraId="7092DE05">
      <w:pPr>
        <w:spacing w:line="249" w:lineRule="auto"/>
        <w:rPr>
          <w:rFonts w:ascii="Arial"/>
          <w:sz w:val="21"/>
        </w:rPr>
      </w:pPr>
    </w:p>
    <w:p w14:paraId="39BC0F92">
      <w:pPr>
        <w:spacing w:line="249" w:lineRule="auto"/>
        <w:rPr>
          <w:rFonts w:ascii="Arial"/>
          <w:sz w:val="21"/>
        </w:rPr>
      </w:pPr>
    </w:p>
    <w:p w14:paraId="1470CA70">
      <w:pPr>
        <w:spacing w:line="249" w:lineRule="auto"/>
        <w:rPr>
          <w:rFonts w:ascii="Arial"/>
          <w:sz w:val="21"/>
        </w:rPr>
      </w:pPr>
    </w:p>
    <w:p w14:paraId="23F59EAD">
      <w:pPr>
        <w:spacing w:line="249" w:lineRule="auto"/>
        <w:rPr>
          <w:rFonts w:ascii="Arial"/>
          <w:sz w:val="21"/>
        </w:rPr>
      </w:pPr>
    </w:p>
    <w:p w14:paraId="3FBA93C5">
      <w:pPr>
        <w:spacing w:line="249" w:lineRule="auto"/>
        <w:rPr>
          <w:rFonts w:ascii="Arial"/>
          <w:sz w:val="21"/>
        </w:rPr>
      </w:pPr>
    </w:p>
    <w:p w14:paraId="6F5EC5E7">
      <w:pPr>
        <w:spacing w:line="249" w:lineRule="auto"/>
        <w:rPr>
          <w:rFonts w:ascii="Arial"/>
          <w:sz w:val="21"/>
        </w:rPr>
      </w:pPr>
    </w:p>
    <w:p w14:paraId="413588BC">
      <w:pPr>
        <w:spacing w:line="249" w:lineRule="auto"/>
        <w:rPr>
          <w:rFonts w:ascii="Arial"/>
          <w:sz w:val="21"/>
        </w:rPr>
      </w:pPr>
    </w:p>
    <w:p w14:paraId="4D43FBD7">
      <w:pPr>
        <w:spacing w:line="249" w:lineRule="auto"/>
        <w:rPr>
          <w:rFonts w:ascii="Arial"/>
          <w:sz w:val="21"/>
        </w:rPr>
      </w:pPr>
    </w:p>
    <w:p w14:paraId="5D439739">
      <w:pPr>
        <w:spacing w:line="249" w:lineRule="auto"/>
        <w:rPr>
          <w:rFonts w:ascii="Arial"/>
          <w:sz w:val="21"/>
        </w:rPr>
      </w:pPr>
    </w:p>
    <w:p w14:paraId="1493BA19">
      <w:pPr>
        <w:spacing w:line="249" w:lineRule="auto"/>
        <w:rPr>
          <w:rFonts w:ascii="Arial"/>
          <w:sz w:val="21"/>
        </w:rPr>
      </w:pPr>
    </w:p>
    <w:p w14:paraId="1B89ACFF">
      <w:pPr>
        <w:spacing w:line="249" w:lineRule="auto"/>
        <w:rPr>
          <w:rFonts w:ascii="Arial"/>
          <w:sz w:val="21"/>
        </w:rPr>
      </w:pPr>
    </w:p>
    <w:p w14:paraId="7164B8CB">
      <w:pPr>
        <w:spacing w:line="250" w:lineRule="auto"/>
        <w:rPr>
          <w:rFonts w:ascii="Arial"/>
          <w:sz w:val="21"/>
        </w:rPr>
      </w:pPr>
    </w:p>
    <w:p w14:paraId="01C1E1CD">
      <w:pPr>
        <w:spacing w:line="250" w:lineRule="auto"/>
        <w:rPr>
          <w:rFonts w:ascii="Arial"/>
          <w:sz w:val="21"/>
        </w:rPr>
      </w:pPr>
    </w:p>
    <w:p w14:paraId="51BC4336">
      <w:pPr>
        <w:spacing w:line="250" w:lineRule="auto"/>
        <w:rPr>
          <w:rFonts w:ascii="Arial"/>
          <w:sz w:val="21"/>
        </w:rPr>
      </w:pPr>
    </w:p>
    <w:p w14:paraId="7CC10D96">
      <w:pPr>
        <w:spacing w:line="250" w:lineRule="auto"/>
        <w:rPr>
          <w:rFonts w:ascii="Arial"/>
          <w:sz w:val="21"/>
        </w:rPr>
      </w:pPr>
    </w:p>
    <w:p w14:paraId="025B0DCC">
      <w:pPr>
        <w:spacing w:line="250" w:lineRule="auto"/>
        <w:rPr>
          <w:rFonts w:ascii="Arial"/>
          <w:sz w:val="21"/>
        </w:rPr>
      </w:pPr>
    </w:p>
    <w:p w14:paraId="0E996A20">
      <w:pPr>
        <w:spacing w:line="250" w:lineRule="auto"/>
        <w:rPr>
          <w:rFonts w:ascii="Arial"/>
          <w:sz w:val="21"/>
        </w:rPr>
      </w:pPr>
    </w:p>
    <w:p w14:paraId="231C4BD4">
      <w:pPr>
        <w:spacing w:line="250" w:lineRule="auto"/>
        <w:rPr>
          <w:rFonts w:ascii="Arial"/>
          <w:sz w:val="21"/>
        </w:rPr>
      </w:pPr>
    </w:p>
    <w:p w14:paraId="5E1D54DB">
      <w:pPr>
        <w:spacing w:line="250" w:lineRule="auto"/>
        <w:rPr>
          <w:rFonts w:ascii="Arial"/>
          <w:sz w:val="21"/>
        </w:rPr>
      </w:pPr>
    </w:p>
    <w:p w14:paraId="119F15D7">
      <w:pPr>
        <w:spacing w:line="250" w:lineRule="auto"/>
        <w:rPr>
          <w:rFonts w:ascii="Arial"/>
          <w:sz w:val="21"/>
        </w:rPr>
      </w:pPr>
    </w:p>
    <w:p w14:paraId="522FC852">
      <w:pPr>
        <w:spacing w:line="250" w:lineRule="auto"/>
        <w:rPr>
          <w:rFonts w:ascii="Arial"/>
          <w:sz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2413000</wp:posOffset>
            </wp:positionH>
            <wp:positionV relativeFrom="paragraph">
              <wp:posOffset>51435</wp:posOffset>
            </wp:positionV>
            <wp:extent cx="1552575" cy="1438275"/>
            <wp:effectExtent l="0" t="0" r="9525" b="952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D88EE0">
      <w:pPr>
        <w:spacing w:line="250" w:lineRule="auto"/>
        <w:rPr>
          <w:rFonts w:ascii="Arial"/>
          <w:sz w:val="21"/>
        </w:rPr>
      </w:pPr>
    </w:p>
    <w:p w14:paraId="63968AE4">
      <w:pPr>
        <w:spacing w:line="250" w:lineRule="auto"/>
        <w:rPr>
          <w:rFonts w:ascii="Arial"/>
          <w:sz w:val="21"/>
        </w:rPr>
      </w:pPr>
    </w:p>
    <w:p w14:paraId="6FFF4D48">
      <w:pPr>
        <w:spacing w:before="101" w:line="221" w:lineRule="auto"/>
        <w:ind w:left="858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color w:val="212626"/>
          <w:spacing w:val="16"/>
          <w:sz w:val="31"/>
          <w:szCs w:val="31"/>
        </w:rPr>
        <w:t>第</w:t>
      </w:r>
      <w:r>
        <w:rPr>
          <w:rFonts w:ascii="仿宋" w:hAnsi="仿宋" w:eastAsia="仿宋" w:cs="仿宋"/>
          <w:color w:val="212626"/>
          <w:spacing w:val="9"/>
          <w:sz w:val="31"/>
          <w:szCs w:val="31"/>
        </w:rPr>
        <w:t>三</w:t>
      </w:r>
      <w:r>
        <w:rPr>
          <w:rFonts w:ascii="仿宋" w:hAnsi="仿宋" w:eastAsia="仿宋" w:cs="仿宋"/>
          <w:color w:val="212626"/>
          <w:spacing w:val="8"/>
          <w:sz w:val="31"/>
          <w:szCs w:val="31"/>
        </w:rPr>
        <w:t>方机构名称：</w:t>
      </w:r>
      <w:r>
        <w:rPr>
          <w:rFonts w:hint="eastAsia" w:ascii="仿宋" w:hAnsi="仿宋" w:eastAsia="仿宋" w:cs="仿宋"/>
          <w:color w:val="212626"/>
          <w:spacing w:val="8"/>
          <w:sz w:val="31"/>
          <w:szCs w:val="31"/>
          <w:lang w:val="en-US" w:eastAsia="zh-CN"/>
        </w:rPr>
        <w:t>浙江晟优能源科技有限公司</w:t>
      </w:r>
    </w:p>
    <w:p w14:paraId="3925E0AF">
      <w:pPr>
        <w:spacing w:before="306" w:line="222" w:lineRule="auto"/>
        <w:ind w:left="8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212626"/>
          <w:spacing w:val="12"/>
          <w:sz w:val="31"/>
          <w:szCs w:val="31"/>
        </w:rPr>
        <w:t>报</w:t>
      </w:r>
      <w:r>
        <w:rPr>
          <w:rFonts w:ascii="仿宋" w:hAnsi="仿宋" w:eastAsia="仿宋" w:cs="仿宋"/>
          <w:color w:val="212626"/>
          <w:spacing w:val="7"/>
          <w:sz w:val="31"/>
          <w:szCs w:val="31"/>
        </w:rPr>
        <w:t>告</w:t>
      </w:r>
      <w:r>
        <w:rPr>
          <w:rFonts w:ascii="仿宋" w:hAnsi="仿宋" w:eastAsia="仿宋" w:cs="仿宋"/>
          <w:color w:val="212626"/>
          <w:spacing w:val="6"/>
          <w:sz w:val="31"/>
          <w:szCs w:val="31"/>
        </w:rPr>
        <w:t>签发日期：202</w:t>
      </w:r>
      <w:r>
        <w:rPr>
          <w:rFonts w:hint="eastAsia" w:ascii="仿宋" w:hAnsi="仿宋" w:eastAsia="仿宋" w:cs="仿宋"/>
          <w:color w:val="212626"/>
          <w:spacing w:val="6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color w:val="212626"/>
          <w:spacing w:val="6"/>
          <w:sz w:val="31"/>
          <w:szCs w:val="31"/>
        </w:rPr>
        <w:t>年</w:t>
      </w:r>
      <w:r>
        <w:rPr>
          <w:rFonts w:hint="eastAsia" w:ascii="仿宋" w:hAnsi="仿宋" w:eastAsia="仿宋" w:cs="仿宋"/>
          <w:color w:val="212626"/>
          <w:spacing w:val="6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color w:val="212626"/>
          <w:spacing w:val="6"/>
          <w:sz w:val="31"/>
          <w:szCs w:val="31"/>
        </w:rPr>
        <w:t>月</w:t>
      </w:r>
    </w:p>
    <w:p w14:paraId="77335EC7">
      <w:pPr>
        <w:sectPr>
          <w:headerReference r:id="rId5" w:type="default"/>
          <w:pgSz w:w="11910" w:h="16850"/>
          <w:pgMar w:top="400" w:right="1786" w:bottom="0" w:left="1786" w:header="0" w:footer="0" w:gutter="0"/>
          <w:cols w:space="720" w:num="1"/>
        </w:sectPr>
      </w:pPr>
    </w:p>
    <w:p w14:paraId="62EBDA42">
      <w:pPr>
        <w:spacing w:line="275" w:lineRule="auto"/>
        <w:rPr>
          <w:rFonts w:ascii="Arial"/>
          <w:sz w:val="21"/>
        </w:rPr>
      </w:pPr>
    </w:p>
    <w:p w14:paraId="3C70A453">
      <w:pPr>
        <w:spacing w:before="100" w:line="227" w:lineRule="auto"/>
        <w:ind w:left="235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第一章  报告主体基本情况</w:t>
      </w:r>
    </w:p>
    <w:p w14:paraId="73CCFD43">
      <w:pPr>
        <w:spacing w:line="349" w:lineRule="auto"/>
        <w:rPr>
          <w:rFonts w:ascii="Arial"/>
          <w:sz w:val="21"/>
        </w:rPr>
      </w:pPr>
    </w:p>
    <w:p w14:paraId="2154182C">
      <w:pPr>
        <w:spacing w:before="91" w:line="544" w:lineRule="exact"/>
        <w:ind w:left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企业名称：</w:t>
      </w:r>
      <w:r>
        <w:rPr>
          <w:rFonts w:hint="eastAsia" w:ascii="仿宋" w:hAnsi="仿宋" w:eastAsia="仿宋" w:cs="仿宋"/>
          <w:spacing w:val="-1"/>
          <w:position w:val="20"/>
          <w:sz w:val="28"/>
          <w:szCs w:val="28"/>
          <w:lang w:val="en-US" w:eastAsia="zh-CN"/>
        </w:rPr>
        <w:t>杭州申联宝塑实业有限公司</w:t>
      </w:r>
    </w:p>
    <w:p w14:paraId="3F4E18FA">
      <w:pPr>
        <w:spacing w:line="215" w:lineRule="auto"/>
        <w:ind w:left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位性质：</w:t>
      </w:r>
      <w:r>
        <w:rPr>
          <w:rFonts w:ascii="仿宋" w:hAnsi="仿宋" w:eastAsia="仿宋" w:cs="仿宋"/>
          <w:spacing w:val="-1"/>
          <w:sz w:val="28"/>
          <w:szCs w:val="28"/>
        </w:rPr>
        <w:t>有限公司</w:t>
      </w:r>
    </w:p>
    <w:p w14:paraId="45F9ECF8">
      <w:pPr>
        <w:spacing w:before="218" w:line="218" w:lineRule="auto"/>
        <w:ind w:left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报告年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度：</w:t>
      </w:r>
      <w:r>
        <w:rPr>
          <w:rFonts w:ascii="仿宋" w:hAnsi="仿宋" w:eastAsia="仿宋" w:cs="仿宋"/>
          <w:spacing w:val="-1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pacing w:val="-1"/>
          <w:sz w:val="28"/>
          <w:szCs w:val="28"/>
        </w:rPr>
        <w:t>年</w:t>
      </w:r>
    </w:p>
    <w:p w14:paraId="76BC93FC">
      <w:pPr>
        <w:spacing w:before="214" w:line="545" w:lineRule="exact"/>
        <w:ind w:left="1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ascii="仿宋" w:hAnsi="仿宋" w:eastAsia="仿宋" w:cs="仿宋"/>
          <w:spacing w:val="-1"/>
          <w:position w:val="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所属行业：</w:t>
      </w:r>
      <w:r>
        <w:rPr>
          <w:rFonts w:hint="eastAsia" w:ascii="仿宋" w:hAnsi="仿宋" w:eastAsia="仿宋" w:cs="仿宋"/>
          <w:position w:val="20"/>
          <w:sz w:val="28"/>
          <w:szCs w:val="28"/>
          <w:lang w:val="en-US" w:eastAsia="zh-CN"/>
        </w:rPr>
        <w:t>C1789 其他产业用纺织制成品制造</w:t>
      </w:r>
    </w:p>
    <w:p w14:paraId="178D1734">
      <w:pPr>
        <w:spacing w:before="1" w:line="219" w:lineRule="auto"/>
        <w:ind w:left="13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统一社会信用代码：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91330109255711963Y</w:t>
      </w:r>
    </w:p>
    <w:p w14:paraId="1858B45D">
      <w:pPr>
        <w:spacing w:before="212" w:line="216" w:lineRule="auto"/>
        <w:ind w:left="9"/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法定代表人：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陆松娟</w:t>
      </w:r>
    </w:p>
    <w:p w14:paraId="5806900C">
      <w:pPr>
        <w:pStyle w:val="6"/>
        <w:rPr>
          <w:rFonts w:hint="default"/>
          <w:lang w:val="en-US" w:eastAsia="zh-CN"/>
        </w:rPr>
      </w:pPr>
    </w:p>
    <w:p w14:paraId="1174FB61">
      <w:pPr>
        <w:spacing w:line="283" w:lineRule="auto"/>
        <w:ind w:left="0" w:leftChars="0" w:firstLine="620" w:firstLineChars="235"/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企业简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介：</w:t>
      </w:r>
      <w:bookmarkStart w:id="0" w:name="_Toc38612348"/>
      <w:bookmarkStart w:id="1" w:name="_Toc27645045"/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杭州申联宝塑实业有限公司创建于</w:t>
      </w:r>
      <w:r>
        <w:rPr>
          <w:rFonts w:hint="default" w:ascii="仿宋" w:hAnsi="仿宋" w:eastAsia="仿宋" w:cs="仿宋"/>
          <w:spacing w:val="-4"/>
          <w:sz w:val="28"/>
          <w:szCs w:val="28"/>
          <w:lang w:val="en-US" w:eastAsia="zh-CN"/>
        </w:rPr>
        <w:t>1997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年，是一家专业致力于化纤布、篷布、</w:t>
      </w:r>
      <w:r>
        <w:rPr>
          <w:rFonts w:hint="default" w:ascii="仿宋" w:hAnsi="仿宋" w:eastAsia="仿宋" w:cs="仿宋"/>
          <w:spacing w:val="-4"/>
          <w:sz w:val="28"/>
          <w:szCs w:val="28"/>
          <w:lang w:val="en-US" w:eastAsia="zh-CN"/>
        </w:rPr>
        <w:t>PVC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板的企业。企业于</w:t>
      </w:r>
      <w:r>
        <w:rPr>
          <w:rFonts w:hint="default" w:ascii="仿宋" w:hAnsi="仿宋" w:eastAsia="仿宋" w:cs="仿宋"/>
          <w:spacing w:val="-4"/>
          <w:sz w:val="28"/>
          <w:szCs w:val="28"/>
          <w:lang w:val="en-US" w:eastAsia="zh-CN"/>
        </w:rPr>
        <w:t>2013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年进入板材行业，并于当年成立研发团队，致力于饰面板的生产和应用。在绿色低碳的时代背景下，公司的创新材料应用发展战略彰显着申联对自然敬畏和包容的尺度。</w:t>
      </w:r>
    </w:p>
    <w:p w14:paraId="7DB40B16">
      <w:pPr>
        <w:spacing w:line="283" w:lineRule="auto"/>
        <w:ind w:left="0" w:leftChars="0" w:firstLine="639" w:firstLineChars="235"/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sectPr>
          <w:headerReference r:id="rId6" w:type="default"/>
          <w:footerReference r:id="rId7" w:type="default"/>
          <w:pgSz w:w="11910" w:h="16840"/>
          <w:pgMar w:top="400" w:right="1662" w:bottom="1420" w:left="1786" w:header="0" w:footer="1239" w:gutter="0"/>
          <w:pgNumType w:fmt="decimal" w:start="1"/>
          <w:cols w:space="720" w:num="1"/>
        </w:sectPr>
      </w:pPr>
    </w:p>
    <w:bookmarkEnd w:id="0"/>
    <w:bookmarkEnd w:id="1"/>
    <w:p w14:paraId="687639F7">
      <w:pPr>
        <w:spacing w:before="101" w:line="226" w:lineRule="auto"/>
        <w:ind w:left="322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二章  概述</w:t>
      </w:r>
    </w:p>
    <w:p w14:paraId="54216FBE">
      <w:pPr>
        <w:spacing w:line="261" w:lineRule="auto"/>
        <w:rPr>
          <w:rFonts w:ascii="Arial"/>
          <w:sz w:val="21"/>
        </w:rPr>
      </w:pPr>
    </w:p>
    <w:p w14:paraId="2F0C51B6">
      <w:pPr>
        <w:spacing w:line="262" w:lineRule="auto"/>
        <w:rPr>
          <w:rFonts w:ascii="Arial"/>
          <w:sz w:val="21"/>
        </w:rPr>
      </w:pPr>
    </w:p>
    <w:p w14:paraId="759F37D7">
      <w:pPr>
        <w:spacing w:before="91" w:line="426" w:lineRule="auto"/>
        <w:ind w:left="26" w:right="114" w:firstLine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碳</w:t>
      </w:r>
      <w:r>
        <w:rPr>
          <w:rFonts w:ascii="仿宋" w:hAnsi="仿宋" w:eastAsia="仿宋" w:cs="仿宋"/>
          <w:spacing w:val="10"/>
          <w:sz w:val="28"/>
          <w:szCs w:val="28"/>
        </w:rPr>
        <w:t>足迹是指一项活动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>(</w:t>
      </w:r>
      <w:r>
        <w:rPr>
          <w:rFonts w:ascii="仿宋" w:hAnsi="仿宋" w:eastAsia="仿宋" w:cs="仿宋"/>
          <w:spacing w:val="10"/>
          <w:sz w:val="28"/>
          <w:szCs w:val="28"/>
        </w:rPr>
        <w:t>或一种服务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>)</w:t>
      </w:r>
      <w:r>
        <w:rPr>
          <w:rFonts w:ascii="仿宋" w:hAnsi="仿宋" w:eastAsia="仿宋" w:cs="仿宋"/>
          <w:spacing w:val="10"/>
          <w:sz w:val="28"/>
          <w:szCs w:val="28"/>
        </w:rPr>
        <w:t>进行的过程中直接或间接产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生的二氧化碳或其他温</w:t>
      </w:r>
      <w:r>
        <w:rPr>
          <w:rFonts w:ascii="仿宋" w:hAnsi="仿宋" w:eastAsia="仿宋" w:cs="仿宋"/>
          <w:spacing w:val="-3"/>
          <w:sz w:val="28"/>
          <w:szCs w:val="28"/>
        </w:rPr>
        <w:t>室</w:t>
      </w:r>
      <w:r>
        <w:rPr>
          <w:rFonts w:ascii="仿宋" w:hAnsi="仿宋" w:eastAsia="仿宋" w:cs="仿宋"/>
          <w:spacing w:val="-2"/>
          <w:sz w:val="28"/>
          <w:szCs w:val="28"/>
        </w:rPr>
        <w:t>气体排放量，或是产品的生命周期各阶段累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积</w:t>
      </w:r>
      <w:r>
        <w:rPr>
          <w:rFonts w:ascii="仿宋" w:hAnsi="仿宋" w:eastAsia="仿宋" w:cs="仿宋"/>
          <w:spacing w:val="-6"/>
          <w:sz w:val="28"/>
          <w:szCs w:val="28"/>
        </w:rPr>
        <w:t>产生的二氧化碳或其他温室气体排放量用二氧化碳等价表示。</w:t>
      </w:r>
    </w:p>
    <w:p w14:paraId="212B5630">
      <w:pPr>
        <w:spacing w:before="4" w:line="416" w:lineRule="auto"/>
        <w:ind w:left="37" w:right="237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产品碳足迹是指每单位产品全生命周期 (系统中前后衔接的一</w:t>
      </w:r>
      <w:r>
        <w:rPr>
          <w:rFonts w:ascii="仿宋" w:hAnsi="仿宋" w:eastAsia="仿宋" w:cs="仿宋"/>
          <w:spacing w:val="-4"/>
          <w:sz w:val="28"/>
          <w:szCs w:val="28"/>
        </w:rPr>
        <w:t>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2"/>
          <w:sz w:val="28"/>
          <w:szCs w:val="28"/>
        </w:rPr>
        <w:t>列</w:t>
      </w:r>
      <w:r>
        <w:rPr>
          <w:rFonts w:ascii="仿宋" w:hAnsi="仿宋" w:eastAsia="仿宋" w:cs="仿宋"/>
          <w:spacing w:val="-22"/>
          <w:sz w:val="28"/>
          <w:szCs w:val="28"/>
        </w:rPr>
        <w:t>阶</w:t>
      </w:r>
      <w:r>
        <w:rPr>
          <w:rFonts w:ascii="仿宋" w:hAnsi="仿宋" w:eastAsia="仿宋" w:cs="仿宋"/>
          <w:spacing w:val="-21"/>
          <w:sz w:val="28"/>
          <w:szCs w:val="28"/>
        </w:rPr>
        <w:t>段，包括从自然界或从自然资源中获取原材料，直至最终处置)内产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生的</w:t>
      </w:r>
      <w:r>
        <w:rPr>
          <w:rFonts w:ascii="仿宋" w:hAnsi="仿宋" w:eastAsia="仿宋" w:cs="仿宋"/>
          <w:spacing w:val="-4"/>
          <w:sz w:val="28"/>
          <w:szCs w:val="28"/>
        </w:rPr>
        <w:t>温室气体排放量。</w:t>
      </w:r>
    </w:p>
    <w:p w14:paraId="7941963B">
      <w:pPr>
        <w:spacing w:before="1" w:line="416" w:lineRule="auto"/>
        <w:ind w:left="21" w:right="117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企业</w:t>
      </w:r>
      <w:r>
        <w:rPr>
          <w:rFonts w:ascii="仿宋" w:hAnsi="仿宋" w:eastAsia="仿宋" w:cs="仿宋"/>
          <w:spacing w:val="-12"/>
          <w:sz w:val="28"/>
          <w:szCs w:val="28"/>
        </w:rPr>
        <w:t>产</w:t>
      </w:r>
      <w:r>
        <w:rPr>
          <w:rFonts w:ascii="仿宋" w:hAnsi="仿宋" w:eastAsia="仿宋" w:cs="仿宋"/>
          <w:spacing w:val="-7"/>
          <w:sz w:val="28"/>
          <w:szCs w:val="28"/>
        </w:rPr>
        <w:t>品碳足迹的核算应遵循 “从摇篮到坟墓”的全生命周期过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2"/>
          <w:sz w:val="28"/>
          <w:szCs w:val="28"/>
        </w:rPr>
        <w:t>程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，包括：  ( 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29"/>
          <w:sz w:val="28"/>
          <w:szCs w:val="28"/>
        </w:rPr>
        <w:t>) 原材料的获取；  (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>2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) 能源与材料的生产；  ( 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-29"/>
          <w:sz w:val="28"/>
          <w:szCs w:val="28"/>
        </w:rPr>
        <w:t>) 制造和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使用</w:t>
      </w:r>
      <w:r>
        <w:rPr>
          <w:rFonts w:ascii="仿宋" w:hAnsi="仿宋" w:eastAsia="仿宋" w:cs="仿宋"/>
          <w:spacing w:val="-12"/>
          <w:sz w:val="28"/>
          <w:szCs w:val="28"/>
        </w:rPr>
        <w:t>；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 (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4</w:t>
      </w:r>
      <w:r>
        <w:rPr>
          <w:rFonts w:ascii="仿宋" w:hAnsi="仿宋" w:eastAsia="仿宋" w:cs="仿宋"/>
          <w:spacing w:val="-10"/>
          <w:sz w:val="28"/>
          <w:szCs w:val="28"/>
        </w:rPr>
        <w:t>) 末期的处理以及最终处置。除此之外，碳足迹应保证科学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方法优先，同时具备相关性、完整性、一致性、准确性、透明性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 w14:paraId="216A78DA">
      <w:pPr>
        <w:spacing w:line="416" w:lineRule="auto"/>
        <w:ind w:left="27" w:right="318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企</w:t>
      </w:r>
      <w:r>
        <w:rPr>
          <w:rFonts w:ascii="仿宋" w:hAnsi="仿宋" w:eastAsia="仿宋" w:cs="仿宋"/>
          <w:spacing w:val="-10"/>
          <w:sz w:val="28"/>
          <w:szCs w:val="28"/>
        </w:rPr>
        <w:t>业产品碳足迹的核算过程，在获取真实有效的数据后，还应选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择</w:t>
      </w:r>
      <w:r>
        <w:rPr>
          <w:rFonts w:ascii="仿宋" w:hAnsi="仿宋" w:eastAsia="仿宋" w:cs="仿宋"/>
          <w:spacing w:val="-8"/>
          <w:sz w:val="28"/>
          <w:szCs w:val="28"/>
        </w:rPr>
        <w:t>科学的核算方法， 目前碳足迹的核算主要有以下三种方法：</w:t>
      </w:r>
    </w:p>
    <w:p w14:paraId="4F0D3F50">
      <w:pPr>
        <w:spacing w:before="1" w:line="217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(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一 ) 排放因子法</w:t>
      </w:r>
    </w:p>
    <w:p w14:paraId="61EFE021">
      <w:pPr>
        <w:spacing w:before="301" w:line="217" w:lineRule="auto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</w:rPr>
        <w:t>采</w:t>
      </w:r>
      <w:r>
        <w:rPr>
          <w:rFonts w:ascii="仿宋" w:hAnsi="仿宋" w:eastAsia="仿宋" w:cs="仿宋"/>
          <w:spacing w:val="-13"/>
          <w:sz w:val="28"/>
          <w:szCs w:val="28"/>
        </w:rPr>
        <w:t>用</w:t>
      </w:r>
      <w:r>
        <w:rPr>
          <w:rFonts w:ascii="仿宋" w:hAnsi="仿宋" w:eastAsia="仿宋" w:cs="仿宋"/>
          <w:spacing w:val="-12"/>
          <w:sz w:val="28"/>
          <w:szCs w:val="28"/>
        </w:rPr>
        <w:t>排放因子法计算时，温室气体排放量为活动数据与温室气体排</w:t>
      </w:r>
    </w:p>
    <w:sdt>
      <w:sdtPr>
        <w:rPr>
          <w:rFonts w:ascii="Arial" w:hAnsi="Arial" w:eastAsia="Arial" w:cs="Arial"/>
          <w:sz w:val="21"/>
          <w:szCs w:val="21"/>
        </w:rPr>
        <w:id w:val="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8"/>
          <w:szCs w:val="28"/>
        </w:rPr>
      </w:sdtEndPr>
      <w:sdtContent>
        <w:p w14:paraId="147735DC">
          <w:pPr>
            <w:spacing w:before="302" w:line="217" w:lineRule="auto"/>
            <w:ind w:left="25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仿宋" w:hAnsi="仿宋" w:eastAsia="仿宋" w:cs="仿宋"/>
              <w:spacing w:val="-26"/>
              <w:sz w:val="28"/>
              <w:szCs w:val="28"/>
            </w:rPr>
            <w:t>放</w:t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t xml:space="preserve">因子的乘积，见式 ( </w:t>
          </w:r>
          <w:r>
            <w:rPr>
              <w:rFonts w:ascii="Times New Roman" w:hAnsi="Times New Roman" w:eastAsia="Times New Roman" w:cs="Times New Roman"/>
              <w:spacing w:val="-15"/>
              <w:sz w:val="28"/>
              <w:szCs w:val="28"/>
            </w:rPr>
            <w:t xml:space="preserve">1 </w:t>
          </w:r>
          <w:r>
            <w:rPr>
              <w:rFonts w:ascii="仿宋" w:hAnsi="仿宋" w:eastAsia="仿宋" w:cs="仿宋"/>
              <w:spacing w:val="-15"/>
              <w:sz w:val="28"/>
              <w:szCs w:val="28"/>
            </w:rPr>
            <w:t>)：</w:t>
          </w:r>
        </w:p>
        <w:p w14:paraId="787BF3AE">
          <w:pPr>
            <w:tabs>
              <w:tab w:val="right" w:leader="dot" w:pos="8320"/>
            </w:tabs>
            <w:spacing w:before="248" w:line="378" w:lineRule="exact"/>
            <w:ind w:left="578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spacing w:val="-13"/>
              <w:position w:val="2"/>
              <w:sz w:val="28"/>
              <w:szCs w:val="28"/>
            </w:rPr>
            <w:t>E</w:t>
          </w:r>
          <w:r>
            <w:rPr>
              <w:rFonts w:ascii="Times New Roman" w:hAnsi="Times New Roman" w:eastAsia="Times New Roman" w:cs="Times New Roman"/>
              <w:spacing w:val="-13"/>
              <w:position w:val="1"/>
              <w:sz w:val="17"/>
              <w:szCs w:val="17"/>
            </w:rPr>
            <w:t>GHG</w:t>
          </w:r>
          <w:r>
            <w:rPr>
              <w:rFonts w:ascii="Times New Roman" w:hAnsi="Times New Roman" w:eastAsia="Times New Roman" w:cs="Times New Roman"/>
              <w:spacing w:val="-14"/>
              <w:position w:val="1"/>
              <w:sz w:val="17"/>
              <w:szCs w:val="17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6"/>
              <w:position w:val="2"/>
              <w:sz w:val="28"/>
              <w:szCs w:val="28"/>
            </w:rPr>
            <w:t>=</w:t>
          </w:r>
          <w:r>
            <w:rPr>
              <w:rFonts w:ascii="Times New Roman" w:hAnsi="Times New Roman" w:eastAsia="Times New Roman" w:cs="Times New Roman"/>
              <w:spacing w:val="-18"/>
              <w:position w:val="2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3"/>
              <w:position w:val="2"/>
              <w:sz w:val="28"/>
              <w:szCs w:val="28"/>
            </w:rPr>
            <w:t xml:space="preserve">AD </w:t>
          </w:r>
          <w:r>
            <w:rPr>
              <w:rFonts w:ascii="仿宋" w:hAnsi="仿宋" w:eastAsia="仿宋" w:cs="仿宋"/>
              <w:spacing w:val="-13"/>
              <w:position w:val="2"/>
              <w:sz w:val="28"/>
              <w:szCs w:val="28"/>
            </w:rPr>
            <w:t>×</w:t>
          </w:r>
          <w:r>
            <w:rPr>
              <w:rFonts w:ascii="Times New Roman" w:hAnsi="Times New Roman" w:eastAsia="Times New Roman" w:cs="Times New Roman"/>
              <w:spacing w:val="-13"/>
              <w:position w:val="2"/>
              <w:sz w:val="28"/>
              <w:szCs w:val="28"/>
            </w:rPr>
            <w:t xml:space="preserve">EF </w:t>
          </w:r>
          <w:r>
            <w:rPr>
              <w:rFonts w:ascii="仿宋" w:hAnsi="仿宋" w:eastAsia="仿宋" w:cs="仿宋"/>
              <w:spacing w:val="-13"/>
              <w:position w:val="2"/>
              <w:sz w:val="28"/>
              <w:szCs w:val="28"/>
            </w:rPr>
            <w:t>×</w:t>
          </w:r>
          <w:r>
            <w:rPr>
              <w:rFonts w:ascii="Times New Roman" w:hAnsi="Times New Roman" w:eastAsia="Times New Roman" w:cs="Times New Roman"/>
              <w:spacing w:val="-13"/>
              <w:position w:val="2"/>
              <w:sz w:val="28"/>
              <w:szCs w:val="28"/>
            </w:rPr>
            <w:t xml:space="preserve">GWP </w:t>
          </w:r>
          <w:r>
            <w:rPr>
              <w:rFonts w:ascii="Times New Roman" w:hAnsi="Times New Roman" w:eastAsia="Times New Roman" w:cs="Times New Roman"/>
              <w:position w:val="2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13"/>
              <w:position w:val="2"/>
              <w:sz w:val="28"/>
              <w:szCs w:val="28"/>
            </w:rPr>
            <w:t xml:space="preserve">  </w:t>
          </w:r>
          <w:r>
            <w:rPr>
              <w:rFonts w:ascii="仿宋" w:hAnsi="仿宋" w:eastAsia="仿宋" w:cs="仿宋"/>
              <w:spacing w:val="-13"/>
              <w:position w:val="2"/>
              <w:sz w:val="28"/>
              <w:szCs w:val="28"/>
            </w:rPr>
            <w:t xml:space="preserve">(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3"/>
              <w:position w:val="2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-13"/>
              <w:position w:val="2"/>
              <w:sz w:val="28"/>
              <w:szCs w:val="28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3"/>
              <w:position w:val="2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13"/>
              <w:position w:val="2"/>
              <w:sz w:val="28"/>
              <w:szCs w:val="28"/>
            </w:rPr>
            <w:t>)</w:t>
          </w:r>
        </w:p>
      </w:sdtContent>
    </w:sdt>
    <w:p w14:paraId="429D16D0">
      <w:pPr>
        <w:spacing w:before="305" w:line="218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式中：</w:t>
      </w:r>
    </w:p>
    <w:p w14:paraId="0F7298CA">
      <w:pPr>
        <w:spacing w:before="257" w:line="395" w:lineRule="auto"/>
        <w:ind w:left="692" w:right="244" w:firstLine="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GHG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 xml:space="preserve">       </w:t>
      </w:r>
      <w:r>
        <w:rPr>
          <w:rFonts w:ascii="仿宋" w:hAnsi="仿宋" w:eastAsia="仿宋" w:cs="仿宋"/>
          <w:spacing w:val="-2"/>
          <w:sz w:val="28"/>
          <w:szCs w:val="28"/>
        </w:rPr>
        <w:t>——温室气体排放量，单位为</w:t>
      </w:r>
      <w:r>
        <w:rPr>
          <w:rFonts w:ascii="仿宋" w:hAnsi="仿宋" w:eastAsia="仿宋" w:cs="仿宋"/>
          <w:spacing w:val="-1"/>
          <w:sz w:val="28"/>
          <w:szCs w:val="28"/>
        </w:rPr>
        <w:t>吨二氧化碳当量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(tCO</w:t>
      </w:r>
      <w:r>
        <w:rPr>
          <w:rFonts w:ascii="Times New Roman" w:hAnsi="Times New Roman" w:eastAsia="Times New Roman" w:cs="Times New Roman"/>
          <w:spacing w:val="-1"/>
          <w:position w:val="-2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e)</w:t>
      </w:r>
      <w:r>
        <w:rPr>
          <w:rFonts w:ascii="仿宋" w:hAnsi="仿宋" w:eastAsia="仿宋" w:cs="仿宋"/>
          <w:spacing w:val="-1"/>
          <w:sz w:val="28"/>
          <w:szCs w:val="28"/>
        </w:rPr>
        <w:t>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1"/>
          <w:sz w:val="28"/>
          <w:szCs w:val="28"/>
        </w:rPr>
        <w:t>——温室气体活动数据，单位根据具体排放源</w:t>
      </w:r>
      <w:r>
        <w:rPr>
          <w:rFonts w:ascii="仿宋" w:hAnsi="仿宋" w:eastAsia="仿宋" w:cs="仿宋"/>
          <w:sz w:val="28"/>
          <w:szCs w:val="28"/>
        </w:rPr>
        <w:t>确定；</w:t>
      </w:r>
    </w:p>
    <w:p w14:paraId="7FCD21F7">
      <w:pPr>
        <w:sectPr>
          <w:pgSz w:w="11910" w:h="16840"/>
          <w:pgMar w:top="400" w:right="1662" w:bottom="1420" w:left="1786" w:header="0" w:footer="1239" w:gutter="0"/>
          <w:pgNumType w:fmt="decimal" w:start="1"/>
          <w:cols w:space="720" w:num="1"/>
        </w:sectPr>
      </w:pPr>
    </w:p>
    <w:p w14:paraId="1E366048">
      <w:pPr>
        <w:spacing w:line="276" w:lineRule="auto"/>
        <w:rPr>
          <w:rFonts w:ascii="Arial"/>
          <w:sz w:val="21"/>
        </w:rPr>
      </w:pPr>
    </w:p>
    <w:p w14:paraId="689D10BD">
      <w:pPr>
        <w:spacing w:line="276" w:lineRule="auto"/>
        <w:rPr>
          <w:rFonts w:ascii="Arial"/>
          <w:sz w:val="21"/>
        </w:rPr>
      </w:pPr>
    </w:p>
    <w:p w14:paraId="090A7BD5">
      <w:pPr>
        <w:spacing w:line="277" w:lineRule="auto"/>
        <w:rPr>
          <w:rFonts w:ascii="Arial"/>
          <w:sz w:val="21"/>
        </w:rPr>
      </w:pPr>
    </w:p>
    <w:p w14:paraId="65DC292E">
      <w:pPr>
        <w:spacing w:line="277" w:lineRule="auto"/>
        <w:rPr>
          <w:rFonts w:ascii="Arial"/>
          <w:sz w:val="21"/>
        </w:rPr>
      </w:pPr>
    </w:p>
    <w:p w14:paraId="2C931057">
      <w:pPr>
        <w:spacing w:before="91" w:line="401" w:lineRule="auto"/>
        <w:ind w:left="699" w:hanging="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EF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      </w:t>
      </w:r>
      <w:r>
        <w:rPr>
          <w:rFonts w:ascii="仿宋" w:hAnsi="仿宋" w:eastAsia="仿宋" w:cs="仿宋"/>
          <w:spacing w:val="-2"/>
          <w:sz w:val="28"/>
          <w:szCs w:val="28"/>
        </w:rPr>
        <w:t>——温</w:t>
      </w:r>
      <w:r>
        <w:rPr>
          <w:rFonts w:ascii="仿宋" w:hAnsi="仿宋" w:eastAsia="仿宋" w:cs="仿宋"/>
          <w:spacing w:val="-1"/>
          <w:sz w:val="28"/>
          <w:szCs w:val="28"/>
        </w:rPr>
        <w:t>室气体排放因子，单位与活动数据的单位相匹配；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GWP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1"/>
          <w:sz w:val="28"/>
          <w:szCs w:val="28"/>
        </w:rPr>
        <w:t>——全球变暖潜</w:t>
      </w:r>
      <w:r>
        <w:rPr>
          <w:rFonts w:ascii="仿宋" w:hAnsi="仿宋" w:eastAsia="仿宋" w:cs="仿宋"/>
          <w:sz w:val="28"/>
          <w:szCs w:val="28"/>
        </w:rPr>
        <w:t>势，数值可参考政府间气候变化专门委</w:t>
      </w:r>
    </w:p>
    <w:p w14:paraId="300262CB">
      <w:pPr>
        <w:spacing w:line="218" w:lineRule="auto"/>
        <w:ind w:left="1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员</w:t>
      </w:r>
      <w:r>
        <w:rPr>
          <w:rFonts w:ascii="仿宋" w:hAnsi="仿宋" w:eastAsia="仿宋" w:cs="仿宋"/>
          <w:spacing w:val="-2"/>
          <w:sz w:val="28"/>
          <w:szCs w:val="28"/>
        </w:rPr>
        <w:t>会 (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IPCC</w:t>
      </w:r>
      <w:r>
        <w:rPr>
          <w:rFonts w:ascii="仿宋" w:hAnsi="仿宋" w:eastAsia="仿宋" w:cs="仿宋"/>
          <w:spacing w:val="-2"/>
          <w:sz w:val="28"/>
          <w:szCs w:val="28"/>
        </w:rPr>
        <w:t>) 提供的数据。</w:t>
      </w:r>
    </w:p>
    <w:p w14:paraId="1D1D3CBD">
      <w:pPr>
        <w:spacing w:line="297" w:lineRule="auto"/>
        <w:rPr>
          <w:rFonts w:ascii="Arial"/>
          <w:sz w:val="21"/>
        </w:rPr>
      </w:pPr>
    </w:p>
    <w:p w14:paraId="19E08C63">
      <w:pPr>
        <w:spacing w:line="298" w:lineRule="auto"/>
        <w:rPr>
          <w:rFonts w:ascii="Arial"/>
          <w:sz w:val="21"/>
        </w:rPr>
      </w:pPr>
    </w:p>
    <w:p w14:paraId="074449DF">
      <w:pPr>
        <w:spacing w:before="91" w:line="216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(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二 ) 物料平衡法</w:t>
      </w:r>
    </w:p>
    <w:p w14:paraId="7F5D403A">
      <w:pPr>
        <w:spacing w:before="304" w:line="416" w:lineRule="auto"/>
        <w:ind w:left="19" w:right="127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使用物料平衡法计算时，根据质量守恒定律，用输入物料中</w:t>
      </w:r>
      <w:r>
        <w:rPr>
          <w:rFonts w:ascii="仿宋" w:hAnsi="仿宋" w:eastAsia="仿宋" w:cs="仿宋"/>
          <w:spacing w:val="-1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 xml:space="preserve">含 </w:t>
      </w:r>
      <w:r>
        <w:rPr>
          <w:rFonts w:ascii="仿宋" w:hAnsi="仿宋" w:eastAsia="仿宋" w:cs="仿宋"/>
          <w:spacing w:val="-3"/>
          <w:sz w:val="28"/>
          <w:szCs w:val="28"/>
        </w:rPr>
        <w:t>碳量减去输出物料中的含碳量进行平衡计算得到二氧化碳排放量</w:t>
      </w:r>
      <w:r>
        <w:rPr>
          <w:rFonts w:ascii="仿宋" w:hAnsi="仿宋" w:eastAsia="仿宋" w:cs="仿宋"/>
          <w:spacing w:val="-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见</w:t>
      </w:r>
    </w:p>
    <w:p w14:paraId="10532172">
      <w:pPr>
        <w:spacing w:before="1" w:line="218" w:lineRule="auto"/>
        <w:ind w:left="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式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</w:t>
      </w:r>
      <w:r>
        <w:rPr>
          <w:rFonts w:ascii="仿宋" w:hAnsi="仿宋" w:eastAsia="仿宋" w:cs="仿宋"/>
          <w:spacing w:val="-7"/>
          <w:sz w:val="28"/>
          <w:szCs w:val="28"/>
        </w:rPr>
        <w:t>)：</w:t>
      </w:r>
    </w:p>
    <w:p w14:paraId="2B8A29FD">
      <w:pPr>
        <w:spacing w:before="247" w:line="419" w:lineRule="auto"/>
        <w:ind w:left="603" w:right="231" w:hanging="2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3"/>
          <w:position w:val="-2"/>
          <w:sz w:val="17"/>
          <w:szCs w:val="17"/>
        </w:rPr>
        <w:t>GHG</w:t>
      </w:r>
      <w:r>
        <w:rPr>
          <w:rFonts w:ascii="Times New Roman" w:hAnsi="Times New Roman" w:eastAsia="Times New Roman" w:cs="Times New Roman"/>
          <w:spacing w:val="-14"/>
          <w:position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>=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[ 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∑ (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3"/>
          <w:position w:val="-2"/>
          <w:sz w:val="17"/>
          <w:szCs w:val="17"/>
        </w:rPr>
        <w:t xml:space="preserve">I </w:t>
      </w:r>
      <w:r>
        <w:rPr>
          <w:rFonts w:ascii="仿宋" w:hAnsi="仿宋" w:eastAsia="仿宋" w:cs="仿宋"/>
          <w:spacing w:val="-13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CC</w:t>
      </w:r>
      <w:r>
        <w:rPr>
          <w:rFonts w:ascii="Times New Roman" w:hAnsi="Times New Roman" w:eastAsia="Times New Roman" w:cs="Times New Roman"/>
          <w:spacing w:val="-13"/>
          <w:position w:val="-2"/>
          <w:sz w:val="17"/>
          <w:szCs w:val="17"/>
        </w:rPr>
        <w:t xml:space="preserve">I 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- </w:t>
      </w:r>
      <w:r>
        <w:rPr>
          <w:rFonts w:ascii="仿宋" w:hAnsi="仿宋" w:eastAsia="仿宋" w:cs="仿宋"/>
          <w:spacing w:val="-13"/>
          <w:sz w:val="28"/>
          <w:szCs w:val="28"/>
        </w:rPr>
        <w:t>∑ (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3"/>
          <w:position w:val="-2"/>
          <w:sz w:val="17"/>
          <w:szCs w:val="17"/>
        </w:rPr>
        <w:t xml:space="preserve">0 </w:t>
      </w:r>
      <w:r>
        <w:rPr>
          <w:rFonts w:ascii="仿宋" w:hAnsi="仿宋" w:eastAsia="仿宋" w:cs="仿宋"/>
          <w:spacing w:val="-13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CC</w:t>
      </w:r>
      <w:r>
        <w:rPr>
          <w:rFonts w:ascii="Times New Roman" w:hAnsi="Times New Roman" w:eastAsia="Times New Roman" w:cs="Times New Roman"/>
          <w:spacing w:val="-13"/>
          <w:position w:val="-2"/>
          <w:sz w:val="17"/>
          <w:szCs w:val="17"/>
        </w:rPr>
        <w:t xml:space="preserve">0 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] </w:t>
      </w:r>
      <w:r>
        <w:rPr>
          <w:rFonts w:ascii="仿宋" w:hAnsi="仿宋" w:eastAsia="仿宋" w:cs="仿宋"/>
          <w:spacing w:val="-13"/>
          <w:sz w:val="28"/>
          <w:szCs w:val="28"/>
        </w:rPr>
        <w:t>×</w:t>
      </w:r>
      <w:r>
        <w:rPr>
          <w:rFonts w:ascii="Arial" w:hAnsi="Arial" w:eastAsia="Arial" w:cs="Arial"/>
          <w:color w:val="333333"/>
          <w:spacing w:val="-13"/>
          <w:sz w:val="28"/>
          <w:szCs w:val="28"/>
        </w:rPr>
        <w:t xml:space="preserve">ω  </w:t>
      </w:r>
      <w:r>
        <w:rPr>
          <w:rFonts w:ascii="仿宋" w:hAnsi="仿宋" w:eastAsia="仿宋" w:cs="仿宋"/>
          <w:spacing w:val="-13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GWP </w:t>
      </w:r>
      <w:r>
        <w:rPr>
          <w:rFonts w:ascii="仿宋" w:hAnsi="仿宋" w:eastAsia="仿宋" w:cs="仿宋"/>
          <w:spacing w:val="-13"/>
          <w:sz w:val="28"/>
          <w:szCs w:val="28"/>
        </w:rPr>
        <w:t>… … (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2</w:t>
      </w:r>
      <w:r>
        <w:rPr>
          <w:rFonts w:ascii="仿宋" w:hAnsi="仿宋" w:eastAsia="仿宋" w:cs="仿宋"/>
          <w:spacing w:val="-13"/>
          <w:sz w:val="28"/>
          <w:szCs w:val="28"/>
        </w:rPr>
        <w:t>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式中：</w:t>
      </w:r>
    </w:p>
    <w:p w14:paraId="02F8CACD">
      <w:pPr>
        <w:spacing w:before="1" w:line="408" w:lineRule="auto"/>
        <w:ind w:left="695" w:right="323" w:firstLine="1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position w:val="3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0"/>
          <w:sz w:val="17"/>
          <w:szCs w:val="17"/>
        </w:rPr>
        <w:t>GHG</w:t>
      </w:r>
      <w:r>
        <w:rPr>
          <w:rFonts w:ascii="Times New Roman" w:hAnsi="Times New Roman" w:eastAsia="Times New Roman" w:cs="Times New Roman"/>
          <w:spacing w:val="-20"/>
          <w:sz w:val="17"/>
          <w:szCs w:val="17"/>
        </w:rPr>
        <w:t xml:space="preserve">  </w:t>
      </w:r>
      <w:r>
        <w:rPr>
          <w:rFonts w:ascii="Times New Roman" w:hAnsi="Times New Roman" w:eastAsia="Times New Roman" w:cs="Times New Roman"/>
          <w:spacing w:val="-1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17"/>
          <w:szCs w:val="17"/>
        </w:rPr>
        <w:t xml:space="preserve">    </w:t>
      </w:r>
      <w:r>
        <w:rPr>
          <w:rFonts w:ascii="仿宋" w:hAnsi="仿宋" w:eastAsia="仿宋" w:cs="仿宋"/>
          <w:spacing w:val="-10"/>
          <w:sz w:val="28"/>
          <w:szCs w:val="28"/>
        </w:rPr>
        <w:t>——温室气体排放量，单位为吨二氧化碳当量 (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tCO</w:t>
      </w:r>
      <w:r>
        <w:rPr>
          <w:rFonts w:ascii="Times New Roman" w:hAnsi="Times New Roman" w:eastAsia="Times New Roman" w:cs="Times New Roman"/>
          <w:spacing w:val="-10"/>
          <w:position w:val="-2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e </w:t>
      </w:r>
      <w:r>
        <w:rPr>
          <w:rFonts w:ascii="仿宋" w:hAnsi="仿宋" w:eastAsia="仿宋" w:cs="仿宋"/>
          <w:spacing w:val="-10"/>
          <w:sz w:val="28"/>
          <w:szCs w:val="28"/>
        </w:rPr>
        <w:t>)；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position w:val="-1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spacing w:val="-1"/>
          <w:position w:val="-1"/>
          <w:sz w:val="17"/>
          <w:szCs w:val="17"/>
        </w:rPr>
        <w:t xml:space="preserve">            </w:t>
      </w:r>
      <w:r>
        <w:rPr>
          <w:rFonts w:ascii="Times New Roman" w:hAnsi="Times New Roman" w:eastAsia="Times New Roman" w:cs="Times New Roman"/>
          <w:position w:val="-1"/>
          <w:sz w:val="17"/>
          <w:szCs w:val="17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——输入物料的量，单位根据具体排放源确定；</w:t>
      </w:r>
    </w:p>
    <w:p w14:paraId="0D3EC991">
      <w:pPr>
        <w:spacing w:before="40" w:line="216" w:lineRule="auto"/>
        <w:ind w:left="69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position w:val="-1"/>
          <w:sz w:val="17"/>
          <w:szCs w:val="17"/>
        </w:rPr>
        <w:t xml:space="preserve">0 </w:t>
      </w:r>
      <w:r>
        <w:rPr>
          <w:rFonts w:ascii="Times New Roman" w:hAnsi="Times New Roman" w:eastAsia="Times New Roman" w:cs="Times New Roman"/>
          <w:position w:val="-1"/>
          <w:sz w:val="17"/>
          <w:szCs w:val="17"/>
        </w:rPr>
        <w:t xml:space="preserve">           </w:t>
      </w:r>
      <w:r>
        <w:rPr>
          <w:rFonts w:ascii="仿宋" w:hAnsi="仿宋" w:eastAsia="仿宋" w:cs="仿宋"/>
          <w:sz w:val="28"/>
          <w:szCs w:val="28"/>
        </w:rPr>
        <w:t>——输出物料的量，单位根据具体排放源确定；</w:t>
      </w:r>
    </w:p>
    <w:p w14:paraId="733E3EF5">
      <w:pPr>
        <w:spacing w:before="296" w:line="216" w:lineRule="auto"/>
        <w:ind w:left="70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CC</w:t>
      </w:r>
      <w:r>
        <w:rPr>
          <w:rFonts w:ascii="Times New Roman" w:hAnsi="Times New Roman" w:eastAsia="Times New Roman" w:cs="Times New Roman"/>
          <w:position w:val="-1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spacing w:val="-1"/>
          <w:position w:val="-1"/>
          <w:sz w:val="17"/>
          <w:szCs w:val="17"/>
        </w:rPr>
        <w:t xml:space="preserve">          </w:t>
      </w:r>
      <w:r>
        <w:rPr>
          <w:rFonts w:ascii="仿宋" w:hAnsi="仿宋" w:eastAsia="仿宋" w:cs="仿宋"/>
          <w:spacing w:val="-1"/>
          <w:sz w:val="28"/>
          <w:szCs w:val="28"/>
        </w:rPr>
        <w:t>——输入</w:t>
      </w:r>
      <w:r>
        <w:rPr>
          <w:rFonts w:ascii="仿宋" w:hAnsi="仿宋" w:eastAsia="仿宋" w:cs="仿宋"/>
          <w:sz w:val="28"/>
          <w:szCs w:val="28"/>
        </w:rPr>
        <w:t>物料的含碳量，单位与输入物料的量的单位相</w:t>
      </w:r>
    </w:p>
    <w:p w14:paraId="3EA9BE46">
      <w:pPr>
        <w:spacing w:before="304" w:line="218" w:lineRule="auto"/>
        <w:ind w:left="1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匹</w:t>
      </w:r>
      <w:r>
        <w:rPr>
          <w:rFonts w:ascii="仿宋" w:hAnsi="仿宋" w:eastAsia="仿宋" w:cs="仿宋"/>
          <w:spacing w:val="-14"/>
          <w:sz w:val="28"/>
          <w:szCs w:val="28"/>
        </w:rPr>
        <w:t>配；</w:t>
      </w:r>
    </w:p>
    <w:p w14:paraId="0165A24B">
      <w:pPr>
        <w:spacing w:before="286" w:line="216" w:lineRule="auto"/>
        <w:ind w:left="70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CC</w:t>
      </w:r>
      <w:r>
        <w:rPr>
          <w:rFonts w:ascii="Times New Roman" w:hAnsi="Times New Roman" w:eastAsia="Times New Roman" w:cs="Times New Roman"/>
          <w:position w:val="-1"/>
          <w:sz w:val="17"/>
          <w:szCs w:val="17"/>
        </w:rPr>
        <w:t xml:space="preserve">0         </w:t>
      </w:r>
      <w:r>
        <w:rPr>
          <w:rFonts w:ascii="仿宋" w:hAnsi="仿宋" w:eastAsia="仿宋" w:cs="仿宋"/>
          <w:sz w:val="28"/>
          <w:szCs w:val="28"/>
        </w:rPr>
        <w:t>——输出物料的含碳量，单位与输出物料的量的单位相</w:t>
      </w:r>
    </w:p>
    <w:p w14:paraId="137E9D52">
      <w:pPr>
        <w:spacing w:before="304" w:line="218" w:lineRule="auto"/>
        <w:ind w:left="1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匹</w:t>
      </w:r>
      <w:r>
        <w:rPr>
          <w:rFonts w:ascii="仿宋" w:hAnsi="仿宋" w:eastAsia="仿宋" w:cs="仿宋"/>
          <w:spacing w:val="-14"/>
          <w:sz w:val="28"/>
          <w:szCs w:val="28"/>
        </w:rPr>
        <w:t>配；</w:t>
      </w:r>
    </w:p>
    <w:p w14:paraId="230D2AB2">
      <w:pPr>
        <w:spacing w:before="232" w:line="383" w:lineRule="exact"/>
        <w:ind w:left="702"/>
        <w:rPr>
          <w:rFonts w:ascii="仿宋" w:hAnsi="仿宋" w:eastAsia="仿宋" w:cs="仿宋"/>
          <w:sz w:val="28"/>
          <w:szCs w:val="28"/>
        </w:rPr>
      </w:pPr>
      <w:r>
        <w:rPr>
          <w:rFonts w:ascii="Arial" w:hAnsi="Arial" w:eastAsia="Arial" w:cs="Arial"/>
          <w:color w:val="333333"/>
          <w:position w:val="2"/>
          <w:sz w:val="28"/>
          <w:szCs w:val="28"/>
        </w:rPr>
        <w:t xml:space="preserve">ω        </w:t>
      </w:r>
      <w:r>
        <w:rPr>
          <w:rFonts w:ascii="仿宋" w:hAnsi="仿宋" w:eastAsia="仿宋" w:cs="仿宋"/>
          <w:position w:val="2"/>
          <w:sz w:val="28"/>
          <w:szCs w:val="28"/>
        </w:rPr>
        <w:t>——碳质量转化为温室气体质量的转换系数；</w:t>
      </w:r>
    </w:p>
    <w:p w14:paraId="0170BE8D">
      <w:pPr>
        <w:spacing w:before="294" w:line="219" w:lineRule="auto"/>
        <w:ind w:left="70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GWP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1"/>
          <w:sz w:val="28"/>
          <w:szCs w:val="28"/>
        </w:rPr>
        <w:t>——全球变暖潜</w:t>
      </w:r>
      <w:r>
        <w:rPr>
          <w:rFonts w:ascii="仿宋" w:hAnsi="仿宋" w:eastAsia="仿宋" w:cs="仿宋"/>
          <w:sz w:val="28"/>
          <w:szCs w:val="28"/>
        </w:rPr>
        <w:t>势，数值可参考政府间气候变化专门委</w:t>
      </w:r>
    </w:p>
    <w:p w14:paraId="57D3E745">
      <w:pPr>
        <w:spacing w:before="273" w:line="219" w:lineRule="auto"/>
        <w:ind w:left="1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员</w:t>
      </w:r>
      <w:r>
        <w:rPr>
          <w:rFonts w:ascii="仿宋" w:hAnsi="仿宋" w:eastAsia="仿宋" w:cs="仿宋"/>
          <w:spacing w:val="-2"/>
          <w:sz w:val="28"/>
          <w:szCs w:val="28"/>
        </w:rPr>
        <w:t>会 (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IPCC</w:t>
      </w:r>
      <w:r>
        <w:rPr>
          <w:rFonts w:ascii="仿宋" w:hAnsi="仿宋" w:eastAsia="仿宋" w:cs="仿宋"/>
          <w:spacing w:val="-2"/>
          <w:sz w:val="28"/>
          <w:szCs w:val="28"/>
        </w:rPr>
        <w:t>) 提供的数据。</w:t>
      </w:r>
    </w:p>
    <w:p w14:paraId="06024DE2">
      <w:pPr>
        <w:spacing w:line="243" w:lineRule="auto"/>
        <w:rPr>
          <w:rFonts w:ascii="Arial"/>
          <w:sz w:val="21"/>
        </w:rPr>
      </w:pPr>
    </w:p>
    <w:p w14:paraId="6EB34B77">
      <w:pPr>
        <w:spacing w:line="243" w:lineRule="auto"/>
        <w:rPr>
          <w:rFonts w:ascii="Arial"/>
          <w:sz w:val="21"/>
        </w:rPr>
      </w:pPr>
    </w:p>
    <w:p w14:paraId="54FD1333">
      <w:pPr>
        <w:spacing w:before="91" w:line="218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(</w:t>
      </w:r>
      <w:r>
        <w:rPr>
          <w:rFonts w:ascii="仿宋" w:hAnsi="仿宋" w:eastAsia="仿宋" w:cs="仿宋"/>
          <w:spacing w:val="-15"/>
          <w:sz w:val="28"/>
          <w:szCs w:val="28"/>
        </w:rPr>
        <w:t xml:space="preserve"> 三 ) 实测法</w:t>
      </w:r>
    </w:p>
    <w:p w14:paraId="3CF8F87F">
      <w:pPr>
        <w:sectPr>
          <w:footerReference r:id="rId8" w:type="default"/>
          <w:pgSz w:w="11910" w:h="16840"/>
          <w:pgMar w:top="400" w:right="1654" w:bottom="1417" w:left="1786" w:header="0" w:footer="1241" w:gutter="0"/>
          <w:pgNumType w:fmt="decimal"/>
          <w:cols w:space="720" w:num="1"/>
        </w:sectPr>
      </w:pPr>
    </w:p>
    <w:p w14:paraId="429329CE">
      <w:pPr>
        <w:spacing w:line="274" w:lineRule="auto"/>
        <w:rPr>
          <w:rFonts w:ascii="Arial"/>
          <w:sz w:val="21"/>
        </w:rPr>
      </w:pPr>
    </w:p>
    <w:p w14:paraId="5CFA4D62">
      <w:pPr>
        <w:spacing w:line="274" w:lineRule="auto"/>
        <w:rPr>
          <w:rFonts w:ascii="Arial"/>
          <w:sz w:val="21"/>
        </w:rPr>
      </w:pPr>
    </w:p>
    <w:p w14:paraId="116962A2">
      <w:pPr>
        <w:spacing w:line="274" w:lineRule="auto"/>
        <w:rPr>
          <w:rFonts w:ascii="Arial"/>
          <w:sz w:val="21"/>
        </w:rPr>
      </w:pPr>
    </w:p>
    <w:p w14:paraId="1D8757B2">
      <w:pPr>
        <w:spacing w:line="275" w:lineRule="auto"/>
        <w:rPr>
          <w:rFonts w:ascii="Arial"/>
          <w:sz w:val="21"/>
        </w:rPr>
      </w:pPr>
    </w:p>
    <w:p w14:paraId="302341ED">
      <w:pPr>
        <w:spacing w:before="91" w:line="416" w:lineRule="auto"/>
        <w:ind w:left="33" w:right="12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通</w:t>
      </w:r>
      <w:r>
        <w:rPr>
          <w:rFonts w:ascii="仿宋" w:hAnsi="仿宋" w:eastAsia="仿宋" w:cs="仿宋"/>
          <w:spacing w:val="-10"/>
          <w:sz w:val="28"/>
          <w:szCs w:val="28"/>
        </w:rPr>
        <w:t>过安装监测仪器、设备，如：烟气排放连续监测系统，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CEMS</w:t>
      </w:r>
      <w:r>
        <w:rPr>
          <w:rFonts w:ascii="仿宋" w:hAnsi="仿宋" w:eastAsia="仿宋" w:cs="仿宋"/>
          <w:spacing w:val="-10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并采用相关技术文件中要求的方法测量温室气体源排放到大气中</w:t>
      </w:r>
      <w:r>
        <w:rPr>
          <w:rFonts w:ascii="仿宋" w:hAnsi="仿宋" w:eastAsia="仿宋" w:cs="仿宋"/>
          <w:spacing w:val="3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温</w:t>
      </w:r>
      <w:r>
        <w:rPr>
          <w:rFonts w:ascii="仿宋" w:hAnsi="仿宋" w:eastAsia="仿宋" w:cs="仿宋"/>
          <w:spacing w:val="-3"/>
          <w:sz w:val="28"/>
          <w:szCs w:val="28"/>
        </w:rPr>
        <w:t>室气体排放量。</w:t>
      </w:r>
    </w:p>
    <w:p w14:paraId="7755DDEC">
      <w:pPr>
        <w:spacing w:line="217" w:lineRule="auto"/>
        <w:ind w:left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碳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足迹核算过程中采用的排放因子应考虑如下因素：(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9"/>
          <w:sz w:val="28"/>
          <w:szCs w:val="28"/>
        </w:rPr>
        <w:t>) 来源明</w:t>
      </w:r>
    </w:p>
    <w:p w14:paraId="77734D33">
      <w:pPr>
        <w:spacing w:before="301" w:line="216" w:lineRule="auto"/>
        <w:ind w:left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2"/>
          <w:sz w:val="28"/>
          <w:szCs w:val="28"/>
        </w:rPr>
        <w:t>确</w:t>
      </w:r>
      <w:r>
        <w:rPr>
          <w:rFonts w:ascii="仿宋" w:hAnsi="仿宋" w:eastAsia="仿宋" w:cs="仿宋"/>
          <w:spacing w:val="-22"/>
          <w:sz w:val="28"/>
          <w:szCs w:val="28"/>
        </w:rPr>
        <w:t>，</w:t>
      </w:r>
      <w:r>
        <w:rPr>
          <w:rFonts w:ascii="仿宋" w:hAnsi="仿宋" w:eastAsia="仿宋" w:cs="仿宋"/>
          <w:spacing w:val="-21"/>
          <w:sz w:val="28"/>
          <w:szCs w:val="28"/>
        </w:rPr>
        <w:t>有公信力；  (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>2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) 适用性；  ( 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-21"/>
          <w:sz w:val="28"/>
          <w:szCs w:val="28"/>
        </w:rPr>
        <w:t>) 时效性。排放因子获取优先级如下</w:t>
      </w:r>
    </w:p>
    <w:p w14:paraId="7DA0B512">
      <w:pPr>
        <w:spacing w:before="303" w:line="218" w:lineRule="auto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2"/>
          <w:sz w:val="28"/>
          <w:szCs w:val="28"/>
        </w:rPr>
        <w:t>所示：</w:t>
      </w:r>
    </w:p>
    <w:p w14:paraId="2919164B">
      <w:pPr>
        <w:spacing w:line="104" w:lineRule="exact"/>
      </w:pPr>
    </w:p>
    <w:tbl>
      <w:tblPr>
        <w:tblStyle w:val="12"/>
        <w:tblW w:w="8303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5103"/>
        <w:gridCol w:w="1075"/>
      </w:tblGrid>
      <w:tr w14:paraId="137D2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25" w:type="dxa"/>
            <w:vAlign w:val="top"/>
          </w:tcPr>
          <w:p w14:paraId="13191962">
            <w:pPr>
              <w:spacing w:before="123" w:line="226" w:lineRule="auto"/>
              <w:ind w:left="6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数据类型</w:t>
            </w:r>
          </w:p>
        </w:tc>
        <w:tc>
          <w:tcPr>
            <w:tcW w:w="5103" w:type="dxa"/>
            <w:vAlign w:val="top"/>
          </w:tcPr>
          <w:p w14:paraId="659093E5">
            <w:pPr>
              <w:spacing w:before="123" w:line="226" w:lineRule="auto"/>
              <w:ind w:left="2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描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述</w:t>
            </w:r>
          </w:p>
        </w:tc>
        <w:tc>
          <w:tcPr>
            <w:tcW w:w="1075" w:type="dxa"/>
            <w:vAlign w:val="top"/>
          </w:tcPr>
          <w:p w14:paraId="13F2C13B">
            <w:pPr>
              <w:spacing w:before="123" w:line="225" w:lineRule="auto"/>
              <w:ind w:left="1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优先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级</w:t>
            </w:r>
          </w:p>
        </w:tc>
      </w:tr>
      <w:tr w14:paraId="727B1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25" w:type="dxa"/>
            <w:vAlign w:val="top"/>
          </w:tcPr>
          <w:p w14:paraId="09BCBF39">
            <w:pPr>
              <w:spacing w:before="118" w:line="473" w:lineRule="exact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18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8"/>
                <w:position w:val="18"/>
                <w:sz w:val="23"/>
                <w:szCs w:val="23"/>
              </w:rPr>
              <w:t>放因子实测值</w:t>
            </w:r>
          </w:p>
          <w:p w14:paraId="72778219">
            <w:pPr>
              <w:spacing w:line="224" w:lineRule="auto"/>
              <w:ind w:left="5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计算值</w:t>
            </w:r>
          </w:p>
        </w:tc>
        <w:tc>
          <w:tcPr>
            <w:tcW w:w="5103" w:type="dxa"/>
            <w:vAlign w:val="top"/>
          </w:tcPr>
          <w:p w14:paraId="5CD20516">
            <w:pPr>
              <w:spacing w:before="118" w:line="473" w:lineRule="exact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position w:val="18"/>
                <w:sz w:val="23"/>
                <w:szCs w:val="23"/>
              </w:rPr>
              <w:t>通</w:t>
            </w:r>
            <w:r>
              <w:rPr>
                <w:rFonts w:ascii="仿宋" w:hAnsi="仿宋" w:eastAsia="仿宋" w:cs="仿宋"/>
                <w:spacing w:val="9"/>
                <w:position w:val="18"/>
                <w:sz w:val="23"/>
                <w:szCs w:val="23"/>
              </w:rPr>
              <w:t>过工业企业内的直接测量、能量平衡或物料</w:t>
            </w:r>
          </w:p>
          <w:p w14:paraId="6CD60FCE">
            <w:pPr>
              <w:spacing w:line="224" w:lineRule="auto"/>
              <w:ind w:left="4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平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衡等方法得到的排放因子或相关参数值</w:t>
            </w:r>
          </w:p>
        </w:tc>
        <w:tc>
          <w:tcPr>
            <w:tcW w:w="1075" w:type="dxa"/>
            <w:vAlign w:val="top"/>
          </w:tcPr>
          <w:p w14:paraId="1BAD3824">
            <w:pPr>
              <w:spacing w:line="280" w:lineRule="auto"/>
              <w:rPr>
                <w:rFonts w:ascii="Arial"/>
                <w:sz w:val="21"/>
              </w:rPr>
            </w:pPr>
          </w:p>
          <w:p w14:paraId="44CC9FE8">
            <w:pPr>
              <w:spacing w:before="75" w:line="227" w:lineRule="auto"/>
              <w:ind w:left="4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高</w:t>
            </w:r>
          </w:p>
        </w:tc>
      </w:tr>
      <w:tr w14:paraId="6F821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125" w:type="dxa"/>
            <w:vAlign w:val="top"/>
          </w:tcPr>
          <w:p w14:paraId="0097812D">
            <w:pPr>
              <w:spacing w:before="122" w:line="225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放因子参考值</w:t>
            </w:r>
          </w:p>
        </w:tc>
        <w:tc>
          <w:tcPr>
            <w:tcW w:w="5103" w:type="dxa"/>
            <w:vAlign w:val="top"/>
          </w:tcPr>
          <w:p w14:paraId="424FDC5A">
            <w:pPr>
              <w:spacing w:before="123" w:line="224" w:lineRule="auto"/>
              <w:ind w:left="5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采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用相关指南或文件中提供的排放因子</w:t>
            </w:r>
          </w:p>
        </w:tc>
        <w:tc>
          <w:tcPr>
            <w:tcW w:w="1075" w:type="dxa"/>
            <w:vAlign w:val="top"/>
          </w:tcPr>
          <w:p w14:paraId="7A6CE51F">
            <w:pPr>
              <w:spacing w:before="122" w:line="226" w:lineRule="auto"/>
              <w:ind w:left="4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低</w:t>
            </w:r>
          </w:p>
        </w:tc>
      </w:tr>
    </w:tbl>
    <w:p w14:paraId="28DCB464">
      <w:pPr>
        <w:rPr>
          <w:rFonts w:ascii="Arial"/>
          <w:sz w:val="21"/>
        </w:rPr>
      </w:pPr>
    </w:p>
    <w:p w14:paraId="55E17B3E">
      <w:pPr>
        <w:sectPr>
          <w:footerReference r:id="rId9" w:type="default"/>
          <w:pgSz w:w="11910" w:h="16840"/>
          <w:pgMar w:top="400" w:right="1786" w:bottom="1420" w:left="1786" w:header="0" w:footer="1241" w:gutter="0"/>
          <w:pgNumType w:fmt="decimal"/>
          <w:cols w:space="720" w:num="1"/>
        </w:sectPr>
      </w:pPr>
    </w:p>
    <w:p w14:paraId="5E672AAE">
      <w:pPr>
        <w:spacing w:line="245" w:lineRule="auto"/>
        <w:rPr>
          <w:rFonts w:ascii="Arial"/>
          <w:sz w:val="21"/>
        </w:rPr>
      </w:pPr>
    </w:p>
    <w:p w14:paraId="60AF19F4">
      <w:pPr>
        <w:spacing w:before="101" w:line="226" w:lineRule="auto"/>
        <w:ind w:left="178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>三章  活动水平数据及来源说明</w:t>
      </w:r>
    </w:p>
    <w:p w14:paraId="77DC1B02">
      <w:pPr>
        <w:spacing w:line="286" w:lineRule="auto"/>
        <w:rPr>
          <w:rFonts w:ascii="Arial"/>
          <w:sz w:val="21"/>
        </w:rPr>
      </w:pPr>
    </w:p>
    <w:p w14:paraId="3518FC86">
      <w:pPr>
        <w:spacing w:before="91" w:line="417" w:lineRule="auto"/>
        <w:ind w:left="27"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浙江普利药业有限公司</w:t>
      </w:r>
      <w:r>
        <w:rPr>
          <w:rFonts w:ascii="仿宋" w:hAnsi="仿宋" w:eastAsia="仿宋" w:cs="仿宋"/>
          <w:spacing w:val="-3"/>
          <w:sz w:val="28"/>
          <w:szCs w:val="28"/>
        </w:rPr>
        <w:t>的主营产品为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电缆料</w:t>
      </w:r>
      <w:r>
        <w:rPr>
          <w:rFonts w:ascii="仿宋" w:hAnsi="仿宋" w:eastAsia="仿宋" w:cs="仿宋"/>
          <w:spacing w:val="-3"/>
          <w:sz w:val="28"/>
          <w:szCs w:val="28"/>
        </w:rPr>
        <w:t>，与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电缆料</w:t>
      </w:r>
      <w:r>
        <w:rPr>
          <w:rFonts w:ascii="仿宋" w:hAnsi="仿宋" w:eastAsia="仿宋" w:cs="仿宋"/>
          <w:spacing w:val="6"/>
          <w:sz w:val="28"/>
          <w:szCs w:val="28"/>
        </w:rPr>
        <w:t>相关的主要原辅材料消耗及生产过程中能源消耗的活动水平数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据如下</w:t>
      </w:r>
      <w:r>
        <w:rPr>
          <w:rFonts w:ascii="仿宋" w:hAnsi="仿宋" w:eastAsia="仿宋" w:cs="仿宋"/>
          <w:spacing w:val="-1"/>
          <w:sz w:val="28"/>
          <w:szCs w:val="28"/>
        </w:rPr>
        <w:t>：</w:t>
      </w:r>
    </w:p>
    <w:p w14:paraId="6A6AF2C8">
      <w:pPr>
        <w:spacing w:line="218" w:lineRule="auto"/>
        <w:ind w:left="39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活动水平数据一：原材料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消耗量</w:t>
      </w:r>
    </w:p>
    <w:p w14:paraId="538B9A21">
      <w:pPr>
        <w:spacing w:before="231" w:line="223" w:lineRule="auto"/>
        <w:ind w:left="299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3"/>
          <w:szCs w:val="23"/>
        </w:rPr>
        <w:t>3.1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   </w:t>
      </w:r>
      <w:r>
        <w:rPr>
          <w:rFonts w:ascii="仿宋" w:hAnsi="仿宋" w:eastAsia="仿宋" w:cs="仿宋"/>
          <w:spacing w:val="-2"/>
          <w:sz w:val="23"/>
          <w:szCs w:val="23"/>
          <w14:textOutline w14:w="4249" w14:cap="sq" w14:cmpd="sng">
            <w14:solidFill>
              <w14:srgbClr w14:val="000000"/>
            </w14:solidFill>
            <w14:prstDash w14:val="solid"/>
            <w14:bevel/>
          </w14:textOutline>
        </w:rPr>
        <w:t>原辅材料消耗量</w:t>
      </w:r>
    </w:p>
    <w:p w14:paraId="7EDFFF39">
      <w:pPr>
        <w:spacing w:line="76" w:lineRule="exact"/>
      </w:pPr>
    </w:p>
    <w:tbl>
      <w:tblPr>
        <w:tblStyle w:val="12"/>
        <w:tblW w:w="8301" w:type="dxa"/>
        <w:tblInd w:w="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4122"/>
        <w:gridCol w:w="2458"/>
      </w:tblGrid>
      <w:tr w14:paraId="72AD8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21" w:type="dxa"/>
            <w:vAlign w:val="center"/>
          </w:tcPr>
          <w:p w14:paraId="1450072C">
            <w:pPr>
              <w:spacing w:before="116" w:line="225" w:lineRule="auto"/>
              <w:ind w:left="8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122" w:type="dxa"/>
            <w:vAlign w:val="center"/>
          </w:tcPr>
          <w:p w14:paraId="651FCA44">
            <w:pPr>
              <w:spacing w:before="116" w:line="223" w:lineRule="auto"/>
              <w:ind w:left="8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要原辅材料名称</w:t>
            </w:r>
          </w:p>
        </w:tc>
        <w:tc>
          <w:tcPr>
            <w:tcW w:w="2458" w:type="dxa"/>
            <w:vAlign w:val="center"/>
          </w:tcPr>
          <w:p w14:paraId="066044ED">
            <w:pPr>
              <w:spacing w:before="116" w:line="226" w:lineRule="auto"/>
              <w:ind w:left="10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数据</w:t>
            </w:r>
          </w:p>
        </w:tc>
      </w:tr>
      <w:tr w14:paraId="4FC00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1" w:type="dxa"/>
            <w:vAlign w:val="center"/>
          </w:tcPr>
          <w:p w14:paraId="27E11D0A">
            <w:pPr>
              <w:spacing w:before="145" w:line="195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4122" w:type="dxa"/>
            <w:vAlign w:val="center"/>
          </w:tcPr>
          <w:p w14:paraId="3002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 树脂粉(吨)</w:t>
            </w:r>
          </w:p>
        </w:tc>
        <w:tc>
          <w:tcPr>
            <w:tcW w:w="2458" w:type="dxa"/>
            <w:vAlign w:val="center"/>
          </w:tcPr>
          <w:p w14:paraId="58DF3CF3">
            <w:pPr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2760</w:t>
            </w:r>
          </w:p>
        </w:tc>
      </w:tr>
      <w:tr w14:paraId="14EA6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1" w:type="dxa"/>
            <w:vAlign w:val="center"/>
          </w:tcPr>
          <w:p w14:paraId="64BDE797">
            <w:pPr>
              <w:spacing w:before="145" w:line="195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4122" w:type="dxa"/>
            <w:vAlign w:val="center"/>
          </w:tcPr>
          <w:p w14:paraId="079D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调节剂(吨)</w:t>
            </w:r>
          </w:p>
        </w:tc>
        <w:tc>
          <w:tcPr>
            <w:tcW w:w="2458" w:type="dxa"/>
            <w:vAlign w:val="center"/>
          </w:tcPr>
          <w:p w14:paraId="28FBF28F">
            <w:pPr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270</w:t>
            </w:r>
          </w:p>
        </w:tc>
      </w:tr>
      <w:tr w14:paraId="225A2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21" w:type="dxa"/>
            <w:vAlign w:val="center"/>
          </w:tcPr>
          <w:p w14:paraId="5157095C">
            <w:pPr>
              <w:spacing w:before="145" w:line="195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4122" w:type="dxa"/>
            <w:vAlign w:val="center"/>
          </w:tcPr>
          <w:p w14:paraId="346B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稳定剂(吨)</w:t>
            </w:r>
          </w:p>
        </w:tc>
        <w:tc>
          <w:tcPr>
            <w:tcW w:w="2458" w:type="dxa"/>
            <w:vAlign w:val="center"/>
          </w:tcPr>
          <w:p w14:paraId="6211CA69">
            <w:pPr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137</w:t>
            </w:r>
          </w:p>
        </w:tc>
      </w:tr>
      <w:tr w14:paraId="176B2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1" w:type="dxa"/>
            <w:vAlign w:val="center"/>
          </w:tcPr>
          <w:p w14:paraId="4190D612">
            <w:pPr>
              <w:spacing w:before="145" w:line="195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4</w:t>
            </w:r>
          </w:p>
        </w:tc>
        <w:tc>
          <w:tcPr>
            <w:tcW w:w="4122" w:type="dxa"/>
            <w:vAlign w:val="center"/>
          </w:tcPr>
          <w:p w14:paraId="77B4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碳酸钙(吨)</w:t>
            </w:r>
          </w:p>
        </w:tc>
        <w:tc>
          <w:tcPr>
            <w:tcW w:w="2458" w:type="dxa"/>
            <w:vAlign w:val="center"/>
          </w:tcPr>
          <w:p w14:paraId="1188D50B">
            <w:pPr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4930</w:t>
            </w:r>
          </w:p>
        </w:tc>
      </w:tr>
      <w:tr w14:paraId="7FE57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21" w:type="dxa"/>
            <w:vAlign w:val="center"/>
          </w:tcPr>
          <w:p w14:paraId="014D7503">
            <w:pPr>
              <w:spacing w:before="145" w:line="195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4122" w:type="dxa"/>
            <w:vAlign w:val="center"/>
          </w:tcPr>
          <w:p w14:paraId="6D98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PP新粒子(吨)</w:t>
            </w:r>
          </w:p>
        </w:tc>
        <w:tc>
          <w:tcPr>
            <w:tcW w:w="2458" w:type="dxa"/>
            <w:vAlign w:val="center"/>
          </w:tcPr>
          <w:p w14:paraId="413EAD58">
            <w:pPr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1150</w:t>
            </w:r>
          </w:p>
        </w:tc>
      </w:tr>
      <w:tr w14:paraId="655D1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21" w:type="dxa"/>
            <w:vAlign w:val="center"/>
          </w:tcPr>
          <w:p w14:paraId="031A0685">
            <w:pPr>
              <w:spacing w:before="145" w:line="195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4122" w:type="dxa"/>
            <w:vAlign w:val="center"/>
          </w:tcPr>
          <w:p w14:paraId="7D3B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涤纶丝(吨)</w:t>
            </w:r>
          </w:p>
        </w:tc>
        <w:tc>
          <w:tcPr>
            <w:tcW w:w="2458" w:type="dxa"/>
            <w:vAlign w:val="center"/>
          </w:tcPr>
          <w:p w14:paraId="1DFE5ACD">
            <w:pPr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1100</w:t>
            </w:r>
          </w:p>
        </w:tc>
      </w:tr>
      <w:tr w14:paraId="49EA2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21" w:type="dxa"/>
            <w:vAlign w:val="center"/>
          </w:tcPr>
          <w:p w14:paraId="75FCC1D9">
            <w:pPr>
              <w:spacing w:before="145" w:line="195" w:lineRule="auto"/>
              <w:jc w:val="center"/>
              <w:rPr>
                <w:rFonts w:hint="eastAsia" w:ascii="Times New Roman" w:hAnsi="Times New Roman" w:eastAsia="Times New Roman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4122" w:type="dxa"/>
            <w:vAlign w:val="center"/>
          </w:tcPr>
          <w:p w14:paraId="4E42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丙纶丝(吨)</w:t>
            </w:r>
          </w:p>
        </w:tc>
        <w:tc>
          <w:tcPr>
            <w:tcW w:w="2458" w:type="dxa"/>
            <w:vAlign w:val="center"/>
          </w:tcPr>
          <w:p w14:paraId="4EF2EB72">
            <w:pPr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1250</w:t>
            </w:r>
          </w:p>
        </w:tc>
      </w:tr>
    </w:tbl>
    <w:p w14:paraId="36F12692">
      <w:pPr>
        <w:spacing w:before="91" w:line="219" w:lineRule="auto"/>
        <w:ind w:left="29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  <w14:textOutline w14:w="4975" w14:cap="sq" w14:cmpd="sng">
            <w14:solidFill>
              <w14:srgbClr w14:val="000000"/>
            </w14:solidFill>
            <w14:prstDash w14:val="solid"/>
            <w14:bevel/>
          </w14:textOutline>
        </w:rPr>
        <w:t>活动水平数据二：产品生产过程能源消耗</w:t>
      </w:r>
      <w:r>
        <w:rPr>
          <w:rFonts w:ascii="仿宋" w:hAnsi="仿宋" w:eastAsia="仿宋" w:cs="仿宋"/>
          <w:spacing w:val="-12"/>
          <w:sz w:val="28"/>
          <w:szCs w:val="28"/>
          <w14:textOutline w14:w="4975" w14:cap="sq" w14:cmpd="sng">
            <w14:solidFill>
              <w14:srgbClr w14:val="000000"/>
            </w14:solidFill>
            <w14:prstDash w14:val="solid"/>
            <w14:bevel/>
          </w14:textOutline>
        </w:rPr>
        <w:t>量</w:t>
      </w:r>
    </w:p>
    <w:p w14:paraId="65AE9AB8">
      <w:pPr>
        <w:spacing w:before="240" w:line="224" w:lineRule="auto"/>
        <w:ind w:left="315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t>3.2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  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能源消耗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量</w:t>
      </w:r>
    </w:p>
    <w:p w14:paraId="004068D7">
      <w:pPr>
        <w:spacing w:line="75" w:lineRule="exact"/>
      </w:pPr>
    </w:p>
    <w:tbl>
      <w:tblPr>
        <w:tblStyle w:val="12"/>
        <w:tblW w:w="8301" w:type="dxa"/>
        <w:tblInd w:w="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3610"/>
        <w:gridCol w:w="2458"/>
      </w:tblGrid>
      <w:tr w14:paraId="5EC0F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33" w:type="dxa"/>
            <w:vAlign w:val="center"/>
          </w:tcPr>
          <w:p w14:paraId="0A49D310">
            <w:pPr>
              <w:spacing w:before="114" w:line="225" w:lineRule="auto"/>
              <w:ind w:left="8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610" w:type="dxa"/>
            <w:vAlign w:val="center"/>
          </w:tcPr>
          <w:p w14:paraId="5FB1A954">
            <w:pPr>
              <w:spacing w:before="115" w:line="224" w:lineRule="auto"/>
              <w:ind w:left="13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要耗能</w:t>
            </w:r>
          </w:p>
        </w:tc>
        <w:tc>
          <w:tcPr>
            <w:tcW w:w="2458" w:type="dxa"/>
            <w:vAlign w:val="center"/>
          </w:tcPr>
          <w:p w14:paraId="09F9CD77">
            <w:pPr>
              <w:spacing w:before="114" w:line="226" w:lineRule="auto"/>
              <w:ind w:left="10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数据</w:t>
            </w:r>
          </w:p>
        </w:tc>
      </w:tr>
      <w:tr w14:paraId="56638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33" w:type="dxa"/>
            <w:vAlign w:val="center"/>
          </w:tcPr>
          <w:p w14:paraId="08B0A4D1">
            <w:pPr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10" w:type="dxa"/>
            <w:vAlign w:val="center"/>
          </w:tcPr>
          <w:p w14:paraId="123CE916">
            <w:pPr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废水处理量 ( 吨 )</w:t>
            </w:r>
          </w:p>
        </w:tc>
        <w:tc>
          <w:tcPr>
            <w:tcW w:w="2458" w:type="dxa"/>
            <w:vAlign w:val="center"/>
          </w:tcPr>
          <w:p w14:paraId="3A48702C">
            <w:pPr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2586</w:t>
            </w:r>
          </w:p>
        </w:tc>
      </w:tr>
      <w:tr w14:paraId="75575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33" w:type="dxa"/>
            <w:vAlign w:val="center"/>
          </w:tcPr>
          <w:p w14:paraId="6EF4F1E0">
            <w:pPr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10" w:type="dxa"/>
            <w:vAlign w:val="center"/>
          </w:tcPr>
          <w:p w14:paraId="2DD678E8">
            <w:pPr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净购入电力 (MWh)</w:t>
            </w:r>
          </w:p>
        </w:tc>
        <w:tc>
          <w:tcPr>
            <w:tcW w:w="2458" w:type="dxa"/>
            <w:vAlign w:val="center"/>
          </w:tcPr>
          <w:p w14:paraId="2E3B9762">
            <w:pPr>
              <w:spacing w:before="0" w:after="0" w:line="240" w:lineRule="auto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6782.2</w:t>
            </w:r>
          </w:p>
        </w:tc>
      </w:tr>
    </w:tbl>
    <w:p w14:paraId="03B929E1">
      <w:pPr>
        <w:rPr>
          <w:rFonts w:ascii="Arial"/>
          <w:sz w:val="21"/>
        </w:rPr>
      </w:pPr>
    </w:p>
    <w:p w14:paraId="4813925E">
      <w:pPr>
        <w:sectPr>
          <w:footerReference r:id="rId10" w:type="default"/>
          <w:pgSz w:w="11910" w:h="16840"/>
          <w:pgMar w:top="400" w:right="1784" w:bottom="1417" w:left="1786" w:header="0" w:footer="1241" w:gutter="0"/>
          <w:pgNumType w:fmt="decimal"/>
          <w:cols w:space="720" w:num="1"/>
        </w:sectPr>
      </w:pPr>
    </w:p>
    <w:p w14:paraId="2D85863C"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1139825</wp:posOffset>
            </wp:positionH>
            <wp:positionV relativeFrom="page">
              <wp:posOffset>9535160</wp:posOffset>
            </wp:positionV>
            <wp:extent cx="1828800" cy="76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1308E">
      <w:pPr>
        <w:spacing w:line="245" w:lineRule="auto"/>
        <w:rPr>
          <w:rFonts w:ascii="Arial"/>
          <w:sz w:val="21"/>
        </w:rPr>
      </w:pPr>
    </w:p>
    <w:p w14:paraId="06782244">
      <w:pPr>
        <w:spacing w:line="246" w:lineRule="auto"/>
        <w:rPr>
          <w:rFonts w:ascii="Arial"/>
          <w:sz w:val="21"/>
        </w:rPr>
        <w:sectPr>
          <w:footerReference r:id="rId11" w:type="default"/>
          <w:type w:val="continuous"/>
          <w:pgSz w:w="11910" w:h="16840"/>
          <w:pgMar w:top="400" w:right="1786" w:bottom="1420" w:left="1786" w:header="0" w:footer="1241" w:gutter="0"/>
          <w:pgNumType w:fmt="decimal"/>
          <w:cols w:equalWidth="0" w:num="1">
            <w:col w:w="8337"/>
          </w:cols>
        </w:sectPr>
      </w:pPr>
    </w:p>
    <w:p w14:paraId="50B440B8">
      <w:pPr>
        <w:spacing w:line="246" w:lineRule="auto"/>
        <w:rPr>
          <w:rFonts w:ascii="Arial"/>
          <w:sz w:val="21"/>
        </w:rPr>
      </w:pPr>
    </w:p>
    <w:p w14:paraId="26016439">
      <w:pPr>
        <w:spacing w:before="101" w:line="226" w:lineRule="auto"/>
        <w:ind w:left="178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>四章  排放因子数据及来源说明</w:t>
      </w:r>
    </w:p>
    <w:p w14:paraId="7A8CCA75">
      <w:pPr>
        <w:spacing w:line="287" w:lineRule="auto"/>
        <w:rPr>
          <w:rFonts w:ascii="Arial"/>
          <w:sz w:val="21"/>
        </w:rPr>
      </w:pPr>
    </w:p>
    <w:p w14:paraId="5D8589D9">
      <w:pPr>
        <w:spacing w:line="305" w:lineRule="auto"/>
        <w:rPr>
          <w:rFonts w:ascii="Arial"/>
          <w:sz w:val="21"/>
        </w:rPr>
      </w:pPr>
    </w:p>
    <w:p w14:paraId="3024096A">
      <w:pPr>
        <w:spacing w:line="305" w:lineRule="auto"/>
        <w:rPr>
          <w:rFonts w:ascii="Arial"/>
          <w:sz w:val="21"/>
        </w:rPr>
      </w:pPr>
    </w:p>
    <w:p w14:paraId="655F4C72">
      <w:pPr>
        <w:spacing w:before="91" w:line="218" w:lineRule="auto"/>
        <w:ind w:left="27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排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放因子数据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电力排放因子</w:t>
      </w:r>
    </w:p>
    <w:p w14:paraId="6A4F6DAE">
      <w:pPr>
        <w:spacing w:before="313" w:line="216" w:lineRule="auto"/>
        <w:ind w:left="6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因</w:t>
      </w:r>
      <w:r>
        <w:rPr>
          <w:rFonts w:ascii="仿宋" w:hAnsi="仿宋" w:eastAsia="仿宋" w:cs="仿宋"/>
          <w:spacing w:val="-10"/>
          <w:sz w:val="28"/>
          <w:szCs w:val="28"/>
        </w:rPr>
        <w:t>子名称：  净外购电量排放因子</w:t>
      </w:r>
    </w:p>
    <w:p w14:paraId="5F55581D">
      <w:pPr>
        <w:spacing w:before="230" w:line="378" w:lineRule="exact"/>
        <w:ind w:left="64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spacing w:val="-10"/>
          <w:position w:val="1"/>
          <w:sz w:val="28"/>
          <w:szCs w:val="28"/>
        </w:rPr>
        <w:t>数值：</w:t>
      </w:r>
      <w:r>
        <w:rPr>
          <w:rFonts w:ascii="仿宋" w:hAnsi="仿宋" w:eastAsia="仿宋" w:cs="仿宋"/>
          <w:spacing w:val="-6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position w:val="1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pacing w:val="-5"/>
          <w:position w:val="1"/>
          <w:sz w:val="28"/>
          <w:szCs w:val="28"/>
        </w:rPr>
        <w:t>0.</w:t>
      </w:r>
      <w:r>
        <w:rPr>
          <w:rFonts w:hint="eastAsia" w:ascii="Times New Roman" w:hAnsi="Times New Roman" w:eastAsia="宋体" w:cs="Times New Roman"/>
          <w:spacing w:val="-5"/>
          <w:position w:val="1"/>
          <w:sz w:val="28"/>
          <w:szCs w:val="28"/>
          <w:lang w:val="en-US" w:eastAsia="zh-CN"/>
        </w:rPr>
        <w:t>5366</w:t>
      </w:r>
      <w:r>
        <w:rPr>
          <w:rFonts w:ascii="Times New Roman" w:hAnsi="Times New Roman" w:eastAsia="Times New Roman" w:cs="Times New Roman"/>
          <w:spacing w:val="-5"/>
          <w:position w:val="1"/>
          <w:sz w:val="28"/>
          <w:szCs w:val="28"/>
        </w:rPr>
        <w:t>tCO</w:t>
      </w:r>
      <w:r>
        <w:rPr>
          <w:rFonts w:ascii="Times New Roman" w:hAnsi="Times New Roman" w:eastAsia="Times New Roman" w:cs="Times New Roman"/>
          <w:spacing w:val="-5"/>
          <w:position w:val="-1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spacing w:val="-5"/>
          <w:position w:val="1"/>
          <w:sz w:val="28"/>
          <w:szCs w:val="28"/>
        </w:rPr>
        <w:t>/MWh</w:t>
      </w:r>
    </w:p>
    <w:p w14:paraId="35CDB8F8">
      <w:pPr>
        <w:spacing w:before="274" w:line="217" w:lineRule="auto"/>
        <w:ind w:left="6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 xml:space="preserve">数据来源：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pacing w:val="-6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年华东区域电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力</w:t>
      </w:r>
      <w:r>
        <w:rPr>
          <w:rFonts w:ascii="仿宋" w:hAnsi="仿宋" w:eastAsia="仿宋" w:cs="仿宋"/>
          <w:spacing w:val="-6"/>
          <w:sz w:val="28"/>
          <w:szCs w:val="28"/>
        </w:rPr>
        <w:t>排放因子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 w14:paraId="0DF548A9"/>
    <w:p w14:paraId="5BC2047F"/>
    <w:p w14:paraId="67DBD33A">
      <w:pPr>
        <w:spacing w:line="152" w:lineRule="exact"/>
      </w:pPr>
    </w:p>
    <w:p w14:paraId="7590B281">
      <w:pPr>
        <w:sectPr>
          <w:pgSz w:w="11910" w:h="16840"/>
          <w:pgMar w:top="400" w:right="1786" w:bottom="1420" w:left="1786" w:header="0" w:footer="1241" w:gutter="0"/>
          <w:pgNumType w:fmt="decimal"/>
          <w:cols w:equalWidth="0" w:num="1">
            <w:col w:w="8337"/>
          </w:cols>
        </w:sectPr>
      </w:pPr>
    </w:p>
    <w:p w14:paraId="21460FE7">
      <w:pPr>
        <w:spacing w:line="283" w:lineRule="auto"/>
        <w:rPr>
          <w:rFonts w:ascii="Arial"/>
          <w:sz w:val="21"/>
        </w:rPr>
      </w:pPr>
    </w:p>
    <w:p w14:paraId="700176AE">
      <w:pPr>
        <w:spacing w:line="283" w:lineRule="auto"/>
        <w:rPr>
          <w:rFonts w:ascii="Arial"/>
          <w:sz w:val="21"/>
        </w:rPr>
      </w:pPr>
    </w:p>
    <w:p w14:paraId="59D28A2E">
      <w:pPr>
        <w:spacing w:before="101" w:line="226" w:lineRule="auto"/>
        <w:ind w:left="16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</w:t>
      </w:r>
      <w:r>
        <w:rPr>
          <w:rFonts w:ascii="黑体" w:hAnsi="黑体" w:eastAsia="黑体" w:cs="黑体"/>
          <w:spacing w:val="10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章  碳足迹核算及需说明的情况</w:t>
      </w:r>
    </w:p>
    <w:p w14:paraId="574F6209">
      <w:pPr>
        <w:spacing w:line="287" w:lineRule="auto"/>
        <w:rPr>
          <w:rFonts w:ascii="Arial"/>
          <w:sz w:val="21"/>
        </w:rPr>
      </w:pPr>
    </w:p>
    <w:p w14:paraId="388FDC08">
      <w:pPr>
        <w:spacing w:line="287" w:lineRule="auto"/>
        <w:rPr>
          <w:rFonts w:ascii="Arial"/>
          <w:sz w:val="21"/>
        </w:rPr>
      </w:pPr>
    </w:p>
    <w:p w14:paraId="3EA588BB">
      <w:pPr>
        <w:spacing w:before="91" w:line="421" w:lineRule="auto"/>
        <w:ind w:left="24" w:right="16" w:firstLine="567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结合行业</w:t>
      </w:r>
      <w:r>
        <w:rPr>
          <w:rFonts w:ascii="仿宋" w:hAnsi="仿宋" w:eastAsia="仿宋" w:cs="仿宋"/>
          <w:spacing w:val="-13"/>
          <w:sz w:val="28"/>
          <w:szCs w:val="28"/>
        </w:rPr>
        <w:t>引用生命周期评价法比较合适，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本报</w:t>
      </w:r>
      <w:r>
        <w:rPr>
          <w:rFonts w:ascii="仿宋" w:hAnsi="仿宋" w:eastAsia="仿宋" w:cs="仿宋"/>
          <w:spacing w:val="-3"/>
          <w:sz w:val="28"/>
          <w:szCs w:val="28"/>
        </w:rPr>
        <w:t>告不涉及消费终端的排放量。</w:t>
      </w:r>
    </w:p>
    <w:p w14:paraId="7B357F6C">
      <w:pPr>
        <w:spacing w:before="91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(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7"/>
          <w:sz w:val="28"/>
          <w:szCs w:val="28"/>
          <w:lang w:val="en-US" w:eastAsia="zh-CN"/>
        </w:rPr>
        <w:t>一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) 生产</w:t>
      </w:r>
    </w:p>
    <w:p w14:paraId="19D9BFC1">
      <w:pPr>
        <w:spacing w:before="91" w:line="421" w:lineRule="auto"/>
        <w:ind w:left="24" w:right="16" w:firstLine="567"/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杭州申联宝塑实业有限公司在生产过程中，二氧化碳排放包含生产过程中消耗天然气排放、消耗电力排放、消耗热力排放和废水排放。</w:t>
      </w:r>
    </w:p>
    <w:p w14:paraId="678533DB">
      <w:pPr>
        <w:spacing w:before="257" w:line="224" w:lineRule="auto"/>
        <w:ind w:left="255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23"/>
          <w:szCs w:val="23"/>
        </w:rPr>
        <w:t>4.</w:t>
      </w:r>
      <w:r>
        <w:rPr>
          <w:rFonts w:hint="eastAsia" w:ascii="Times New Roman" w:hAnsi="Times New Roman" w:eastAsia="宋体" w:cs="Times New Roman"/>
          <w:b/>
          <w:bCs/>
          <w:spacing w:val="4"/>
          <w:sz w:val="23"/>
          <w:szCs w:val="23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  </w:t>
      </w:r>
      <w:r>
        <w:rPr>
          <w:rFonts w:ascii="仿宋" w:hAnsi="仿宋" w:eastAsia="仿宋" w:cs="仿宋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生产过程中能源消耗量</w:t>
      </w:r>
    </w:p>
    <w:p w14:paraId="2C42920B">
      <w:pPr>
        <w:spacing w:line="57" w:lineRule="exact"/>
      </w:pPr>
    </w:p>
    <w:tbl>
      <w:tblPr>
        <w:tblStyle w:val="12"/>
        <w:tblW w:w="8302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926"/>
        <w:gridCol w:w="3306"/>
      </w:tblGrid>
      <w:tr w14:paraId="7DE9D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070" w:type="dxa"/>
            <w:vAlign w:val="top"/>
          </w:tcPr>
          <w:p w14:paraId="3FD4A1DF">
            <w:pPr>
              <w:spacing w:before="122" w:line="224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能耗类别</w:t>
            </w:r>
          </w:p>
        </w:tc>
        <w:tc>
          <w:tcPr>
            <w:tcW w:w="2926" w:type="dxa"/>
            <w:vAlign w:val="top"/>
          </w:tcPr>
          <w:p w14:paraId="13040BF6">
            <w:pPr>
              <w:spacing w:before="121" w:line="226" w:lineRule="auto"/>
              <w:ind w:left="10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活动水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</w:t>
            </w:r>
          </w:p>
        </w:tc>
        <w:tc>
          <w:tcPr>
            <w:tcW w:w="3306" w:type="dxa"/>
            <w:vAlign w:val="top"/>
          </w:tcPr>
          <w:p w14:paraId="7DC64E86">
            <w:pPr>
              <w:spacing w:before="122" w:line="225" w:lineRule="auto"/>
              <w:ind w:left="11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放因子</w:t>
            </w:r>
          </w:p>
        </w:tc>
      </w:tr>
      <w:tr w14:paraId="2973C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070" w:type="dxa"/>
            <w:vAlign w:val="top"/>
          </w:tcPr>
          <w:p w14:paraId="187C48A7">
            <w:pPr>
              <w:spacing w:before="120" w:line="227" w:lineRule="auto"/>
              <w:ind w:left="8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力</w:t>
            </w:r>
          </w:p>
        </w:tc>
        <w:tc>
          <w:tcPr>
            <w:tcW w:w="2926" w:type="dxa"/>
            <w:vAlign w:val="top"/>
          </w:tcPr>
          <w:p w14:paraId="162857E0">
            <w:pPr>
              <w:spacing w:before="72" w:line="322" w:lineRule="exact"/>
              <w:ind w:left="74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10"/>
                <w:position w:val="2"/>
                <w:sz w:val="23"/>
                <w:szCs w:val="23"/>
                <w:lang w:val="en-US" w:eastAsia="zh-CN"/>
              </w:rPr>
              <w:t>6782.2</w:t>
            </w: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MWh</w:t>
            </w:r>
          </w:p>
        </w:tc>
        <w:tc>
          <w:tcPr>
            <w:tcW w:w="3306" w:type="dxa"/>
            <w:vAlign w:val="top"/>
          </w:tcPr>
          <w:p w14:paraId="3CD01EC7">
            <w:pPr>
              <w:spacing w:before="72" w:line="322" w:lineRule="exact"/>
              <w:ind w:left="74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3"/>
                <w:szCs w:val="23"/>
              </w:rPr>
              <w:t>0.</w:t>
            </w:r>
            <w:r>
              <w:rPr>
                <w:rFonts w:hint="eastAsia" w:ascii="Times New Roman" w:hAnsi="Times New Roman" w:eastAsia="宋体" w:cs="Times New Roman"/>
                <w:spacing w:val="7"/>
                <w:position w:val="2"/>
                <w:sz w:val="23"/>
                <w:szCs w:val="23"/>
                <w:lang w:val="en-US" w:eastAsia="zh-CN"/>
              </w:rPr>
              <w:t>5366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tCO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16"/>
                <w:szCs w:val="1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3"/>
                <w:szCs w:val="23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MWh</w:t>
            </w:r>
          </w:p>
        </w:tc>
      </w:tr>
    </w:tbl>
    <w:p w14:paraId="093C190E">
      <w:pPr>
        <w:spacing w:before="176" w:line="217" w:lineRule="auto"/>
        <w:ind w:left="590"/>
        <w:rPr>
          <w:rFonts w:ascii="Arial"/>
          <w:sz w:val="21"/>
        </w:rPr>
      </w:pPr>
      <w:r>
        <w:rPr>
          <w:rFonts w:ascii="仿宋" w:hAnsi="仿宋" w:eastAsia="仿宋" w:cs="仿宋"/>
          <w:spacing w:val="-1"/>
          <w:sz w:val="28"/>
          <w:szCs w:val="28"/>
        </w:rPr>
        <w:t>通过核算，生产过程中产生二氧化碳排</w:t>
      </w:r>
      <w:r>
        <w:rPr>
          <w:rFonts w:ascii="仿宋" w:hAnsi="仿宋" w:eastAsia="仿宋" w:cs="仿宋"/>
          <w:sz w:val="28"/>
          <w:szCs w:val="28"/>
        </w:rPr>
        <w:t>放为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3639.33</w:t>
      </w:r>
      <w:r>
        <w:rPr>
          <w:rFonts w:ascii="仿宋" w:hAnsi="仿宋" w:eastAsia="仿宋" w:cs="仿宋"/>
          <w:sz w:val="28"/>
          <w:szCs w:val="28"/>
        </w:rPr>
        <w:t>吨。</w:t>
      </w:r>
    </w:p>
    <w:p w14:paraId="2C1BE8CC">
      <w:pPr>
        <w:spacing w:before="215" w:line="359" w:lineRule="auto"/>
        <w:ind w:left="1" w:firstLine="5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根据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杭州申联宝塑实业有限公司</w:t>
      </w:r>
      <w:r>
        <w:rPr>
          <w:rFonts w:ascii="仿宋" w:hAnsi="仿宋" w:eastAsia="仿宋" w:cs="仿宋"/>
          <w:spacing w:val="-6"/>
          <w:sz w:val="28"/>
          <w:szCs w:val="28"/>
        </w:rPr>
        <w:t>生产工艺，产品在使用报废后后期报废数据部分</w:t>
      </w:r>
      <w:r>
        <w:rPr>
          <w:rFonts w:ascii="仿宋" w:hAnsi="仿宋" w:eastAsia="仿宋" w:cs="仿宋"/>
          <w:spacing w:val="-16"/>
          <w:sz w:val="28"/>
          <w:szCs w:val="28"/>
        </w:rPr>
        <w:t>排</w:t>
      </w:r>
      <w:r>
        <w:rPr>
          <w:rFonts w:ascii="仿宋" w:hAnsi="仿宋" w:eastAsia="仿宋" w:cs="仿宋"/>
          <w:spacing w:val="-8"/>
          <w:sz w:val="28"/>
          <w:szCs w:val="28"/>
        </w:rPr>
        <w:t>放难以监测，本</w:t>
      </w:r>
      <w:bookmarkStart w:id="2" w:name="_GoBack"/>
      <w:bookmarkEnd w:id="2"/>
      <w:r>
        <w:rPr>
          <w:rFonts w:ascii="仿宋" w:hAnsi="仿宋" w:eastAsia="仿宋" w:cs="仿宋"/>
          <w:spacing w:val="-8"/>
          <w:sz w:val="28"/>
          <w:szCs w:val="28"/>
        </w:rPr>
        <w:t>报告中未对该部分进行报告。</w:t>
      </w:r>
    </w:p>
    <w:p w14:paraId="0021378F">
      <w:pPr>
        <w:spacing w:before="216" w:line="364" w:lineRule="auto"/>
        <w:ind w:left="6" w:right="9" w:firstLine="547"/>
        <w:rPr>
          <w:rFonts w:ascii="仿宋" w:hAnsi="仿宋" w:eastAsia="仿宋" w:cs="仿宋"/>
          <w:sz w:val="28"/>
          <w:szCs w:val="28"/>
        </w:rPr>
      </w:pPr>
    </w:p>
    <w:sectPr>
      <w:footerReference r:id="rId12" w:type="default"/>
      <w:pgSz w:w="11910" w:h="16840"/>
      <w:pgMar w:top="400" w:right="1381" w:bottom="1420" w:left="1693" w:header="0" w:footer="123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7894F">
    <w:pPr>
      <w:spacing w:line="195" w:lineRule="auto"/>
      <w:ind w:left="4085"/>
      <w:rPr>
        <w:rFonts w:ascii="仿宋" w:hAnsi="仿宋" w:eastAsia="仿宋" w:cs="仿宋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8610C">
    <w:pPr>
      <w:spacing w:line="190" w:lineRule="auto"/>
      <w:ind w:left="4088"/>
      <w:rPr>
        <w:rFonts w:ascii="仿宋" w:hAnsi="仿宋" w:eastAsia="仿宋" w:cs="仿宋"/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AE0E0">
    <w:pPr>
      <w:spacing w:line="194" w:lineRule="auto"/>
      <w:ind w:left="4087"/>
      <w:rPr>
        <w:rFonts w:ascii="仿宋" w:hAnsi="仿宋" w:eastAsia="仿宋" w:cs="仿宋"/>
        <w:sz w:val="17"/>
        <w:szCs w:val="1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4C14D">
    <w:pPr>
      <w:spacing w:line="190" w:lineRule="auto"/>
      <w:ind w:left="4087"/>
      <w:rPr>
        <w:rFonts w:ascii="仿宋" w:hAnsi="仿宋" w:eastAsia="仿宋" w:cs="仿宋"/>
        <w:sz w:val="17"/>
        <w:szCs w:val="17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17F7F">
    <w:pPr>
      <w:spacing w:line="194" w:lineRule="auto"/>
      <w:ind w:left="4087"/>
      <w:rPr>
        <w:rFonts w:ascii="仿宋" w:hAnsi="仿宋" w:eastAsia="仿宋" w:cs="仿宋"/>
        <w:sz w:val="17"/>
        <w:szCs w:val="17"/>
      </w:rPr>
    </w:pPr>
    <w:r>
      <w:rPr>
        <w:rFonts w:ascii="仿宋" w:hAnsi="仿宋" w:eastAsia="仿宋" w:cs="仿宋"/>
        <w:sz w:val="17"/>
        <w:szCs w:val="17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2FCB0">
    <w:pPr>
      <w:spacing w:line="195" w:lineRule="auto"/>
      <w:ind w:left="4183"/>
      <w:rPr>
        <w:rFonts w:ascii="仿宋" w:hAnsi="仿宋" w:eastAsia="仿宋" w:cs="仿宋"/>
        <w:sz w:val="17"/>
        <w:szCs w:val="17"/>
      </w:rPr>
    </w:pPr>
    <w:r>
      <w:rPr>
        <w:rFonts w:ascii="仿宋" w:hAnsi="仿宋" w:eastAsia="仿宋" w:cs="仿宋"/>
        <w:spacing w:val="-5"/>
        <w:sz w:val="17"/>
        <w:szCs w:val="17"/>
      </w:rPr>
      <w:t>1</w:t>
    </w:r>
    <w:r>
      <w:rPr>
        <w:rFonts w:ascii="仿宋" w:hAnsi="仿宋" w:eastAsia="仿宋" w:cs="仿宋"/>
        <w:spacing w:val="-3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A0929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EE19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NjJlNDQ0ZTY5MjJiNTBiNjQ4YTA1NTk4ZjIzOWQ5OTYifQ=="/>
    <w:docVar w:name="KSO_WPS_MARK_KEY" w:val="f2404a25-08d0-4924-87cb-71dd48076fc1"/>
  </w:docVars>
  <w:rsids>
    <w:rsidRoot w:val="00000000"/>
    <w:rsid w:val="066706AB"/>
    <w:rsid w:val="0A8E35E2"/>
    <w:rsid w:val="1E39001F"/>
    <w:rsid w:val="208D390A"/>
    <w:rsid w:val="2BB73D4A"/>
    <w:rsid w:val="2D4B662B"/>
    <w:rsid w:val="331A0A1B"/>
    <w:rsid w:val="36D137EB"/>
    <w:rsid w:val="38803F69"/>
    <w:rsid w:val="3AB9765E"/>
    <w:rsid w:val="3E07784E"/>
    <w:rsid w:val="3F52687F"/>
    <w:rsid w:val="426C12B3"/>
    <w:rsid w:val="50EC70F1"/>
    <w:rsid w:val="60477E02"/>
    <w:rsid w:val="66EE3FA1"/>
    <w:rsid w:val="682C58A8"/>
    <w:rsid w:val="6D697C42"/>
    <w:rsid w:val="77E41F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20" w:after="21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ind w:left="1159"/>
    </w:pPr>
    <w:rPr>
      <w:sz w:val="28"/>
      <w:szCs w:val="28"/>
    </w:rPr>
  </w:style>
  <w:style w:type="paragraph" w:styleId="4">
    <w:name w:val="Body Text First Indent"/>
    <w:basedOn w:val="3"/>
    <w:qFormat/>
    <w:uiPriority w:val="0"/>
    <w:pPr>
      <w:autoSpaceDE w:val="0"/>
      <w:autoSpaceDN w:val="0"/>
      <w:adjustRightInd w:val="0"/>
      <w:spacing w:after="0" w:line="360" w:lineRule="auto"/>
      <w:ind w:firstLine="420"/>
    </w:pPr>
    <w:rPr>
      <w:rFonts w:ascii="宋体" w:hAnsi="Calibri" w:cs="Times New Roman"/>
      <w:sz w:val="24"/>
      <w:lang w:val="zh-CN"/>
    </w:rPr>
  </w:style>
  <w:style w:type="paragraph" w:styleId="5">
    <w:name w:val="Body Text Indent"/>
    <w:basedOn w:val="1"/>
    <w:next w:val="6"/>
    <w:qFormat/>
    <w:uiPriority w:val="0"/>
    <w:pPr>
      <w:spacing w:after="120" w:line="360" w:lineRule="auto"/>
      <w:ind w:left="420" w:leftChars="200" w:firstLine="200" w:firstLineChars="200"/>
    </w:pPr>
    <w:rPr>
      <w:sz w:val="28"/>
      <w:szCs w:val="30"/>
    </w:rPr>
  </w:style>
  <w:style w:type="paragraph" w:styleId="6">
    <w:name w:val="Body Text First Indent 2"/>
    <w:basedOn w:val="5"/>
    <w:qFormat/>
    <w:uiPriority w:val="0"/>
    <w:pPr>
      <w:ind w:firstLine="420" w:firstLineChars="200"/>
    </w:pPr>
    <w:rPr>
      <w:rFonts w:eastAsia="宋体" w:cs="Times New Roman"/>
      <w:kern w:val="0"/>
      <w:sz w:val="20"/>
      <w:szCs w:val="24"/>
    </w:rPr>
  </w:style>
  <w:style w:type="paragraph" w:styleId="7">
    <w:name w:val="Plain Text"/>
    <w:basedOn w:val="1"/>
    <w:next w:val="8"/>
    <w:qFormat/>
    <w:uiPriority w:val="0"/>
    <w:rPr>
      <w:rFonts w:ascii="宋体" w:hAnsi="Courier New" w:cs="Courier New"/>
      <w:szCs w:val="21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0" w:firstLineChars="0"/>
    </w:pPr>
    <w:rPr>
      <w:rFonts w:eastAsia="黑体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11"/>
    <w:qFormat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3520</Words>
  <Characters>4280</Characters>
  <TotalTime>3</TotalTime>
  <ScaleCrop>false</ScaleCrop>
  <LinksUpToDate>false</LinksUpToDate>
  <CharactersWithSpaces>4633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2023-06-29T15:44:00Z</dcterms:created>
  <dc:creator>MAIBENBEN</dc:creator>
  <cp:lastModifiedBy>Cherish</cp:lastModifiedBy>
  <dcterms:modified xsi:type="dcterms:W3CDTF">2025-05-16T05:19:14Z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2023-07-10T11:41:06Z</vt:filetime>
  </property>
  <property fmtid="{D5CDD505-2E9C-101B-9397-08002B2CF9AE}" pid="4" name="KSOProductBuildVer">
    <vt:lpwstr>2052-12.1.0.20784</vt:lpwstr>
  </property>
  <property fmtid="{D5CDD505-2E9C-101B-9397-08002B2CF9AE}" pid="5" name="ICV">
    <vt:lpwstr>513CE6C9376B465BA2961C6F7F97EF6F_13</vt:lpwstr>
  </property>
  <property fmtid="{D5CDD505-2E9C-101B-9397-08002B2CF9AE}" pid="6" name="KSOTemplateDocerSaveRecord">
    <vt:lpwstr>eyJoZGlkIjoiZGQzZjZmZjFmYjU2YTE1OGQ3NDFmNGNkMDQ3ZGRiOTgiLCJ1c2VySWQiOiIyNjkyMjU1NTIifQ==</vt:lpwstr>
  </property>
</Properties>
</file>