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C64A1">
      <w:pPr>
        <w:pStyle w:val="3"/>
        <w:rPr>
          <w:rFonts w:hint="eastAsia" w:ascii="仿宋_GB2312" w:hAnsi="仿宋_GB2312" w:eastAsia="仿宋_GB2312" w:cs="仿宋_GB2312"/>
          <w:sz w:val="20"/>
        </w:rPr>
      </w:pPr>
    </w:p>
    <w:p w14:paraId="7BF59410">
      <w:pPr>
        <w:pStyle w:val="3"/>
        <w:rPr>
          <w:rFonts w:hint="eastAsia" w:ascii="仿宋_GB2312" w:hAnsi="仿宋_GB2312" w:eastAsia="仿宋_GB2312" w:cs="仿宋_GB2312"/>
          <w:sz w:val="20"/>
        </w:rPr>
      </w:pPr>
    </w:p>
    <w:p w14:paraId="2E1CBC5E">
      <w:pPr>
        <w:pStyle w:val="3"/>
        <w:rPr>
          <w:rFonts w:hint="eastAsia" w:ascii="仿宋_GB2312" w:hAnsi="仿宋_GB2312" w:eastAsia="仿宋_GB2312" w:cs="仿宋_GB2312"/>
          <w:sz w:val="20"/>
        </w:rPr>
      </w:pPr>
    </w:p>
    <w:p w14:paraId="487C0E9A">
      <w:pPr>
        <w:pStyle w:val="3"/>
        <w:spacing w:before="9"/>
        <w:rPr>
          <w:rFonts w:hint="eastAsia" w:ascii="仿宋_GB2312" w:hAnsi="仿宋_GB2312" w:eastAsia="仿宋_GB2312" w:cs="仿宋_GB2312"/>
        </w:rPr>
      </w:pPr>
    </w:p>
    <w:p w14:paraId="77D1B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1" w:line="360" w:lineRule="auto"/>
        <w:ind w:right="-250" w:rightChars="0"/>
        <w:jc w:val="center"/>
        <w:textAlignment w:val="auto"/>
        <w:rPr>
          <w:rFonts w:hint="default" w:ascii="新宋体" w:hAnsi="新宋体" w:eastAsia="新宋体" w:cs="新宋体"/>
          <w:b/>
          <w:bCs/>
          <w:color w:val="212626"/>
          <w:sz w:val="48"/>
          <w:szCs w:val="4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212626"/>
          <w:sz w:val="48"/>
          <w:szCs w:val="48"/>
          <w:lang w:val="en-US" w:eastAsia="zh-CN"/>
        </w:rPr>
        <w:t>杭州申联宝塑实业有限公司</w:t>
      </w:r>
    </w:p>
    <w:p w14:paraId="290F7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1" w:line="360" w:lineRule="auto"/>
        <w:ind w:right="-250" w:rightChars="0"/>
        <w:jc w:val="center"/>
        <w:textAlignment w:val="auto"/>
        <w:rPr>
          <w:rFonts w:hint="eastAsia" w:ascii="新宋体" w:hAnsi="新宋体" w:eastAsia="新宋体" w:cs="新宋体"/>
          <w:b/>
          <w:bCs/>
          <w:color w:val="212626"/>
          <w:sz w:val="48"/>
          <w:szCs w:val="48"/>
        </w:rPr>
      </w:pPr>
      <w:r>
        <w:rPr>
          <w:rFonts w:hint="eastAsia" w:ascii="新宋体" w:hAnsi="新宋体" w:eastAsia="新宋体" w:cs="新宋体"/>
          <w:b/>
          <w:bCs/>
          <w:color w:val="212626"/>
          <w:sz w:val="48"/>
          <w:szCs w:val="48"/>
        </w:rPr>
        <w:t>20</w:t>
      </w:r>
      <w:r>
        <w:rPr>
          <w:rFonts w:hint="eastAsia" w:ascii="新宋体" w:hAnsi="新宋体" w:eastAsia="新宋体" w:cs="新宋体"/>
          <w:b/>
          <w:bCs/>
          <w:color w:val="212626"/>
          <w:sz w:val="48"/>
          <w:szCs w:val="48"/>
          <w:lang w:val="en-US" w:eastAsia="zh-CN"/>
        </w:rPr>
        <w:t>24</w:t>
      </w:r>
      <w:r>
        <w:rPr>
          <w:rFonts w:hint="eastAsia" w:ascii="新宋体" w:hAnsi="新宋体" w:eastAsia="新宋体" w:cs="新宋体"/>
          <w:b/>
          <w:bCs/>
          <w:color w:val="212626"/>
          <w:sz w:val="48"/>
          <w:szCs w:val="48"/>
        </w:rPr>
        <w:t>年度</w:t>
      </w:r>
    </w:p>
    <w:p w14:paraId="1CD4F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1" w:line="360" w:lineRule="auto"/>
        <w:ind w:right="-25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8"/>
          <w:szCs w:val="48"/>
        </w:rPr>
      </w:pPr>
      <w:r>
        <w:rPr>
          <w:rFonts w:hint="eastAsia" w:ascii="新宋体" w:hAnsi="新宋体" w:eastAsia="新宋体" w:cs="新宋体"/>
          <w:b/>
          <w:bCs/>
          <w:color w:val="212626"/>
          <w:sz w:val="48"/>
          <w:szCs w:val="48"/>
          <w:lang w:val="en-US" w:eastAsia="zh-CN"/>
        </w:rPr>
        <w:t>温室气体排放</w:t>
      </w:r>
      <w:r>
        <w:rPr>
          <w:rFonts w:hint="eastAsia" w:ascii="新宋体" w:hAnsi="新宋体" w:eastAsia="新宋体" w:cs="新宋体"/>
          <w:b/>
          <w:bCs/>
          <w:color w:val="212626"/>
          <w:sz w:val="48"/>
          <w:szCs w:val="48"/>
        </w:rPr>
        <w:t>报告</w:t>
      </w:r>
    </w:p>
    <w:p w14:paraId="3AB58D3D">
      <w:pPr>
        <w:pStyle w:val="3"/>
        <w:rPr>
          <w:rFonts w:hint="eastAsia" w:ascii="仿宋_GB2312" w:hAnsi="仿宋_GB2312" w:eastAsia="仿宋_GB2312" w:cs="仿宋_GB2312"/>
          <w:sz w:val="20"/>
        </w:rPr>
      </w:pPr>
    </w:p>
    <w:p w14:paraId="224EC858">
      <w:pPr>
        <w:pStyle w:val="3"/>
        <w:rPr>
          <w:rFonts w:hint="eastAsia" w:ascii="仿宋_GB2312" w:hAnsi="仿宋_GB2312" w:eastAsia="仿宋_GB2312" w:cs="仿宋_GB2312"/>
          <w:sz w:val="20"/>
        </w:rPr>
      </w:pPr>
    </w:p>
    <w:p w14:paraId="70007E7A">
      <w:pPr>
        <w:pStyle w:val="3"/>
        <w:rPr>
          <w:rFonts w:hint="eastAsia" w:ascii="仿宋_GB2312" w:hAnsi="仿宋_GB2312" w:eastAsia="仿宋_GB2312" w:cs="仿宋_GB2312"/>
          <w:sz w:val="20"/>
        </w:rPr>
      </w:pPr>
    </w:p>
    <w:p w14:paraId="3A48EF9A">
      <w:pPr>
        <w:pStyle w:val="3"/>
        <w:rPr>
          <w:rFonts w:hint="eastAsia" w:ascii="仿宋_GB2312" w:hAnsi="仿宋_GB2312" w:eastAsia="仿宋_GB2312" w:cs="仿宋_GB2312"/>
          <w:sz w:val="20"/>
        </w:rPr>
      </w:pPr>
    </w:p>
    <w:p w14:paraId="69F19F94">
      <w:pPr>
        <w:pStyle w:val="3"/>
        <w:rPr>
          <w:rFonts w:hint="eastAsia" w:ascii="仿宋_GB2312" w:hAnsi="仿宋_GB2312" w:eastAsia="仿宋_GB2312" w:cs="仿宋_GB2312"/>
          <w:sz w:val="20"/>
        </w:rPr>
      </w:pPr>
    </w:p>
    <w:p w14:paraId="1AAEF421">
      <w:pPr>
        <w:pStyle w:val="3"/>
        <w:rPr>
          <w:rFonts w:hint="eastAsia" w:ascii="仿宋_GB2312" w:hAnsi="仿宋_GB2312" w:eastAsia="仿宋_GB2312" w:cs="仿宋_GB2312"/>
          <w:sz w:val="20"/>
        </w:rPr>
      </w:pPr>
    </w:p>
    <w:p w14:paraId="4242AC8A">
      <w:pPr>
        <w:pStyle w:val="3"/>
        <w:rPr>
          <w:rFonts w:hint="eastAsia" w:ascii="仿宋_GB2312" w:hAnsi="仿宋_GB2312" w:eastAsia="仿宋_GB2312" w:cs="仿宋_GB2312"/>
          <w:sz w:val="20"/>
        </w:rPr>
      </w:pPr>
    </w:p>
    <w:p w14:paraId="6F93B76B">
      <w:pPr>
        <w:pStyle w:val="3"/>
        <w:rPr>
          <w:rFonts w:hint="eastAsia" w:ascii="仿宋_GB2312" w:hAnsi="仿宋_GB2312" w:eastAsia="仿宋_GB2312" w:cs="仿宋_GB2312"/>
          <w:sz w:val="20"/>
        </w:rPr>
      </w:pPr>
    </w:p>
    <w:p w14:paraId="0A644EFB">
      <w:pPr>
        <w:pStyle w:val="3"/>
        <w:rPr>
          <w:rFonts w:hint="eastAsia" w:ascii="仿宋_GB2312" w:hAnsi="仿宋_GB2312" w:eastAsia="仿宋_GB2312" w:cs="仿宋_GB2312"/>
          <w:sz w:val="20"/>
        </w:rPr>
      </w:pPr>
    </w:p>
    <w:p w14:paraId="0E84EBC9">
      <w:pPr>
        <w:pStyle w:val="3"/>
        <w:rPr>
          <w:rFonts w:hint="eastAsia" w:ascii="仿宋_GB2312" w:hAnsi="仿宋_GB2312" w:eastAsia="仿宋_GB2312" w:cs="仿宋_GB2312"/>
          <w:sz w:val="20"/>
        </w:rPr>
      </w:pPr>
    </w:p>
    <w:p w14:paraId="346E0CEA">
      <w:pPr>
        <w:pStyle w:val="3"/>
        <w:rPr>
          <w:rFonts w:hint="eastAsia" w:ascii="仿宋_GB2312" w:hAnsi="仿宋_GB2312" w:eastAsia="仿宋_GB2312" w:cs="仿宋_GB2312"/>
          <w:sz w:val="20"/>
        </w:rPr>
      </w:pPr>
    </w:p>
    <w:p w14:paraId="71A03491">
      <w:pPr>
        <w:pStyle w:val="3"/>
        <w:rPr>
          <w:rFonts w:hint="eastAsia" w:ascii="仿宋_GB2312" w:hAnsi="仿宋_GB2312" w:eastAsia="仿宋_GB2312" w:cs="仿宋_GB2312"/>
          <w:sz w:val="20"/>
        </w:rPr>
      </w:pPr>
    </w:p>
    <w:p w14:paraId="559824E7">
      <w:pPr>
        <w:pStyle w:val="3"/>
        <w:rPr>
          <w:rFonts w:hint="eastAsia" w:ascii="仿宋_GB2312" w:hAnsi="仿宋_GB2312" w:eastAsia="仿宋_GB2312" w:cs="仿宋_GB2312"/>
          <w:sz w:val="20"/>
        </w:rPr>
      </w:pPr>
    </w:p>
    <w:p w14:paraId="0ECCD60E">
      <w:pPr>
        <w:pStyle w:val="3"/>
        <w:rPr>
          <w:rFonts w:hint="eastAsia" w:ascii="仿宋_GB2312" w:hAnsi="仿宋_GB2312" w:eastAsia="仿宋_GB2312" w:cs="仿宋_GB2312"/>
          <w:sz w:val="20"/>
        </w:rPr>
      </w:pPr>
    </w:p>
    <w:p w14:paraId="6526872D">
      <w:pPr>
        <w:pStyle w:val="3"/>
        <w:rPr>
          <w:rFonts w:hint="eastAsia" w:ascii="仿宋_GB2312" w:hAnsi="仿宋_GB2312" w:eastAsia="仿宋_GB2312" w:cs="仿宋_GB2312"/>
          <w:sz w:val="20"/>
        </w:rPr>
      </w:pPr>
    </w:p>
    <w:p w14:paraId="776B9D8F">
      <w:pPr>
        <w:pStyle w:val="2"/>
        <w:rPr>
          <w:rFonts w:hint="eastAsia" w:ascii="仿宋_GB2312" w:hAnsi="仿宋_GB2312" w:eastAsia="仿宋_GB2312" w:cs="仿宋_GB2312"/>
          <w:sz w:val="20"/>
        </w:rPr>
      </w:pPr>
    </w:p>
    <w:p w14:paraId="69C707A9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0"/>
        </w:rPr>
      </w:pPr>
    </w:p>
    <w:p w14:paraId="429F1284">
      <w:pPr>
        <w:pStyle w:val="3"/>
        <w:rPr>
          <w:rFonts w:hint="eastAsia" w:ascii="仿宋_GB2312" w:hAnsi="仿宋_GB2312" w:eastAsia="仿宋_GB2312" w:cs="仿宋_GB2312"/>
          <w:sz w:val="20"/>
        </w:rPr>
      </w:pPr>
    </w:p>
    <w:p w14:paraId="2E3B2863">
      <w:pPr>
        <w:pStyle w:val="3"/>
        <w:rPr>
          <w:rFonts w:hint="eastAsia" w:ascii="仿宋_GB2312" w:hAnsi="仿宋_GB2312" w:eastAsia="仿宋_GB2312" w:cs="仿宋_GB2312"/>
          <w:sz w:val="20"/>
        </w:rPr>
      </w:pPr>
    </w:p>
    <w:p w14:paraId="36E732ED">
      <w:pPr>
        <w:pStyle w:val="2"/>
        <w:rPr>
          <w:rFonts w:hint="eastAsia" w:ascii="仿宋_GB2312" w:hAnsi="仿宋_GB2312" w:eastAsia="仿宋_GB2312" w:cs="仿宋_GB2312"/>
          <w:sz w:val="20"/>
        </w:rPr>
      </w:pPr>
    </w:p>
    <w:p w14:paraId="300F656D">
      <w:pPr>
        <w:pStyle w:val="2"/>
        <w:rPr>
          <w:rFonts w:hint="eastAsia" w:ascii="仿宋_GB2312" w:hAnsi="仿宋_GB2312" w:eastAsia="仿宋_GB2312" w:cs="仿宋_GB2312"/>
          <w:sz w:val="20"/>
        </w:rPr>
      </w:pPr>
    </w:p>
    <w:p w14:paraId="4FEADEFB">
      <w:pPr>
        <w:pStyle w:val="2"/>
        <w:rPr>
          <w:rFonts w:hint="eastAsia" w:ascii="仿宋_GB2312" w:hAnsi="仿宋_GB2312" w:eastAsia="仿宋_GB2312" w:cs="仿宋_GB2312"/>
          <w:sz w:val="20"/>
        </w:rPr>
      </w:pPr>
    </w:p>
    <w:p w14:paraId="742610AB">
      <w:pPr>
        <w:pStyle w:val="3"/>
        <w:spacing w:before="8"/>
        <w:rPr>
          <w:rFonts w:hint="eastAsia" w:ascii="仿宋_GB2312" w:hAnsi="仿宋_GB2312" w:eastAsia="仿宋_GB2312" w:cs="仿宋_GB2312"/>
          <w:sz w:val="15"/>
        </w:rPr>
      </w:pPr>
    </w:p>
    <w:p w14:paraId="2B1C98E2">
      <w:pPr>
        <w:pStyle w:val="3"/>
        <w:spacing w:before="8"/>
        <w:rPr>
          <w:rFonts w:hint="eastAsia" w:ascii="仿宋_GB2312" w:hAnsi="仿宋_GB2312" w:eastAsia="仿宋_GB2312" w:cs="仿宋_GB2312"/>
          <w:sz w:val="15"/>
        </w:rPr>
      </w:pPr>
    </w:p>
    <w:p w14:paraId="7B3DBEBC">
      <w:pPr>
        <w:pStyle w:val="3"/>
        <w:spacing w:before="8"/>
        <w:rPr>
          <w:rFonts w:hint="eastAsia" w:ascii="仿宋_GB2312" w:hAnsi="仿宋_GB2312" w:eastAsia="仿宋_GB2312" w:cs="仿宋_GB2312"/>
          <w:sz w:val="15"/>
          <w:lang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2155190</wp:posOffset>
            </wp:positionH>
            <wp:positionV relativeFrom="paragraph">
              <wp:posOffset>102235</wp:posOffset>
            </wp:positionV>
            <wp:extent cx="1552575" cy="143827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9D991A">
      <w:pPr>
        <w:pStyle w:val="3"/>
        <w:spacing w:before="8"/>
        <w:rPr>
          <w:rFonts w:hint="eastAsia" w:ascii="仿宋_GB2312" w:hAnsi="仿宋_GB2312" w:eastAsia="仿宋_GB2312" w:cs="仿宋_GB2312"/>
          <w:sz w:val="15"/>
        </w:rPr>
      </w:pPr>
    </w:p>
    <w:p w14:paraId="015D3B8E">
      <w:pPr>
        <w:pStyle w:val="3"/>
        <w:spacing w:before="8"/>
        <w:rPr>
          <w:rFonts w:hint="eastAsia" w:ascii="仿宋_GB2312" w:hAnsi="仿宋_GB2312" w:eastAsia="仿宋_GB2312" w:cs="仿宋_GB2312"/>
          <w:sz w:val="15"/>
        </w:rPr>
      </w:pPr>
    </w:p>
    <w:p w14:paraId="1C9B959B">
      <w:pPr>
        <w:pStyle w:val="3"/>
        <w:spacing w:before="8"/>
        <w:rPr>
          <w:rFonts w:hint="eastAsia" w:ascii="仿宋_GB2312" w:hAnsi="仿宋_GB2312" w:eastAsia="仿宋_GB2312" w:cs="仿宋_GB2312"/>
          <w:sz w:val="15"/>
        </w:rPr>
      </w:pPr>
    </w:p>
    <w:p w14:paraId="13D7EDBA">
      <w:pPr>
        <w:pStyle w:val="3"/>
        <w:spacing w:before="8"/>
        <w:rPr>
          <w:rFonts w:hint="eastAsia" w:ascii="仿宋_GB2312" w:hAnsi="仿宋_GB2312" w:eastAsia="仿宋_GB2312" w:cs="仿宋_GB2312"/>
          <w:sz w:val="15"/>
        </w:rPr>
      </w:pPr>
    </w:p>
    <w:p w14:paraId="2C7BFA01">
      <w:pPr>
        <w:pStyle w:val="3"/>
        <w:spacing w:before="8"/>
        <w:rPr>
          <w:rFonts w:hint="default" w:ascii="Times New Roman" w:hAnsi="Times New Roman" w:eastAsia="宋体" w:cs="Times New Roman"/>
          <w:sz w:val="15"/>
        </w:rPr>
      </w:pPr>
    </w:p>
    <w:p w14:paraId="03B15CAC">
      <w:pPr>
        <w:jc w:val="center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编制单位</w:t>
      </w:r>
      <w:r>
        <w:rPr>
          <w:rFonts w:hint="default" w:ascii="Times New Roman" w:hAnsi="Times New Roman" w:eastAsia="宋体" w:cs="Times New Roman"/>
          <w:sz w:val="32"/>
          <w:szCs w:val="32"/>
        </w:rPr>
        <w:t>：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浙江晟优能源科技有限公司</w:t>
      </w:r>
    </w:p>
    <w:p w14:paraId="33FCCA86">
      <w:pPr>
        <w:jc w:val="center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报告签发日期：202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月</w:t>
      </w:r>
    </w:p>
    <w:p w14:paraId="1B786ABC">
      <w:pPr>
        <w:spacing w:after="0" w:line="391" w:lineRule="auto"/>
        <w:jc w:val="left"/>
        <w:rPr>
          <w:rFonts w:ascii="Arial" w:eastAsia="Arial"/>
          <w:sz w:val="27"/>
        </w:rPr>
        <w:sectPr>
          <w:type w:val="continuous"/>
          <w:pgSz w:w="11910" w:h="16850"/>
          <w:pgMar w:top="1600" w:right="1680" w:bottom="280" w:left="1680" w:header="720" w:footer="720" w:gutter="0"/>
          <w:cols w:space="720" w:num="1"/>
        </w:sectPr>
      </w:pPr>
    </w:p>
    <w:p w14:paraId="7738934D">
      <w:pPr>
        <w:pStyle w:val="3"/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浙江省工业其他行业企业</w:t>
      </w:r>
    </w:p>
    <w:p w14:paraId="28E5A054">
      <w:pPr>
        <w:pStyle w:val="2"/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温室气体排放报告</w:t>
      </w:r>
    </w:p>
    <w:p w14:paraId="33E139BB">
      <w:pPr>
        <w:pStyle w:val="2"/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 w14:paraId="156DC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9" w:right="2670" w:rightChars="0" w:firstLine="0"/>
        <w:jc w:val="left"/>
        <w:textAlignment w:val="auto"/>
        <w:rPr>
          <w:rFonts w:hint="default" w:ascii="Times New Roman" w:hAnsi="Times New Roman" w:eastAsia="宋体" w:cs="Times New Roman"/>
          <w:spacing w:val="-3"/>
          <w:sz w:val="28"/>
          <w:lang w:val="en-US"/>
        </w:rPr>
      </w:pPr>
      <w:r>
        <w:rPr>
          <w:rFonts w:hint="default" w:ascii="Times New Roman" w:hAnsi="Times New Roman" w:eastAsia="宋体" w:cs="Times New Roman"/>
          <w:b/>
          <w:sz w:val="28"/>
          <w:lang w:val="en-US" w:eastAsia="zh-CN"/>
        </w:rPr>
        <w:t>报告主体</w:t>
      </w:r>
      <w:r>
        <w:rPr>
          <w:rFonts w:hint="default" w:ascii="Times New Roman" w:hAnsi="Times New Roman" w:eastAsia="宋体" w:cs="Times New Roman"/>
          <w:b/>
          <w:sz w:val="28"/>
        </w:rPr>
        <w:t>：</w:t>
      </w:r>
      <w:r>
        <w:rPr>
          <w:rFonts w:hint="eastAsia" w:ascii="Times New Roman" w:hAnsi="Times New Roman" w:eastAsia="宋体" w:cs="Times New Roman"/>
          <w:spacing w:val="-3"/>
          <w:sz w:val="28"/>
          <w:lang w:val="en-US" w:eastAsia="zh-CN"/>
        </w:rPr>
        <w:t>杭州申联宝塑实业有限公司</w:t>
      </w:r>
    </w:p>
    <w:p w14:paraId="6042E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9" w:right="3938" w:firstLine="0"/>
        <w:jc w:val="left"/>
        <w:textAlignment w:val="auto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b/>
          <w:sz w:val="28"/>
        </w:rPr>
        <w:t>报告年度：</w:t>
      </w:r>
      <w:r>
        <w:rPr>
          <w:rFonts w:hint="default" w:ascii="Times New Roman" w:hAnsi="Times New Roman" w:eastAsia="宋体" w:cs="Times New Roman"/>
          <w:spacing w:val="-3"/>
          <w:sz w:val="28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spacing w:val="-3"/>
          <w:sz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pacing w:val="-3"/>
          <w:sz w:val="28"/>
          <w:lang w:val="en-US" w:eastAsia="zh-CN"/>
        </w:rPr>
        <w:t>年</w:t>
      </w:r>
    </w:p>
    <w:p w14:paraId="3C15C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9" w:righ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8"/>
          <w:lang w:val="en-US" w:eastAsia="zh-CN"/>
        </w:rPr>
        <w:t>编制日期</w:t>
      </w:r>
      <w:r>
        <w:rPr>
          <w:rFonts w:hint="default" w:ascii="Times New Roman" w:hAnsi="Times New Roman" w:eastAsia="宋体" w:cs="Times New Roman"/>
          <w:b/>
          <w:sz w:val="28"/>
        </w:rPr>
        <w:t>：</w:t>
      </w:r>
      <w:r>
        <w:rPr>
          <w:rFonts w:hint="default" w:ascii="Times New Roman" w:hAnsi="Times New Roman" w:eastAsia="宋体" w:cs="Times New Roman"/>
          <w:spacing w:val="-3"/>
          <w:sz w:val="28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spacing w:val="-3"/>
          <w:sz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pacing w:val="-3"/>
          <w:sz w:val="28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spacing w:val="-3"/>
          <w:sz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pacing w:val="-3"/>
          <w:sz w:val="28"/>
          <w:lang w:val="en-US" w:eastAsia="zh-CN"/>
        </w:rPr>
        <w:t>月</w:t>
      </w:r>
    </w:p>
    <w:p w14:paraId="7B92CFFF">
      <w:pPr>
        <w:pStyle w:val="3"/>
        <w:spacing w:line="417" w:lineRule="auto"/>
        <w:ind w:left="120" w:right="255" w:firstLine="559"/>
        <w:jc w:val="both"/>
        <w:rPr>
          <w:rFonts w:hint="default" w:ascii="Times New Roman" w:hAnsi="Times New Roman" w:eastAsia="宋体" w:cs="Times New Roman"/>
          <w:spacing w:val="-10"/>
          <w:lang w:eastAsia="zh-CN"/>
        </w:rPr>
      </w:pPr>
      <w:r>
        <w:rPr>
          <w:rFonts w:hint="default" w:ascii="Times New Roman" w:hAnsi="Times New Roman" w:eastAsia="宋体" w:cs="Times New Roman"/>
          <w:spacing w:val="-10"/>
        </w:rPr>
        <w:t>本报告主体包含</w:t>
      </w:r>
      <w:r>
        <w:rPr>
          <w:rFonts w:hint="eastAsia" w:ascii="Times New Roman" w:hAnsi="Times New Roman" w:eastAsia="宋体" w:cs="Times New Roman"/>
          <w:spacing w:val="-10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pacing w:val="-10"/>
        </w:rPr>
        <w:t>个行业，其在20</w:t>
      </w:r>
      <w:r>
        <w:rPr>
          <w:rFonts w:hint="default" w:ascii="Times New Roman" w:hAnsi="Times New Roman" w:eastAsia="宋体" w:cs="Times New Roman"/>
          <w:spacing w:val="-10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pacing w:val="-10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pacing w:val="-10"/>
        </w:rPr>
        <w:t>年度温室体排放总量为</w:t>
      </w:r>
      <w:r>
        <w:rPr>
          <w:rFonts w:hint="eastAsia" w:ascii="Times New Roman" w:hAnsi="Times New Roman" w:eastAsia="宋体" w:cs="Times New Roman"/>
          <w:spacing w:val="-10"/>
          <w:lang w:val="en-US" w:eastAsia="zh-CN"/>
        </w:rPr>
        <w:t>3639.33</w:t>
      </w:r>
      <w:r>
        <w:rPr>
          <w:rFonts w:hint="default" w:ascii="Times New Roman" w:hAnsi="Times New Roman" w:eastAsia="宋体" w:cs="Times New Roman"/>
          <w:spacing w:val="-10"/>
        </w:rPr>
        <w:t>吨CO</w:t>
      </w:r>
      <w:r>
        <w:rPr>
          <w:rFonts w:hint="default" w:ascii="Times New Roman" w:hAnsi="Times New Roman" w:eastAsia="宋体" w:cs="Times New Roman"/>
          <w:spacing w:val="-11"/>
          <w:sz w:val="28"/>
          <w:vertAlign w:val="subscript"/>
        </w:rPr>
        <w:t>2</w:t>
      </w:r>
      <w:r>
        <w:rPr>
          <w:rFonts w:hint="default" w:ascii="Times New Roman" w:hAnsi="Times New Roman" w:eastAsia="宋体" w:cs="Times New Roman"/>
          <w:spacing w:val="-10"/>
        </w:rPr>
        <w:t>当量，根据国家发展和改革委员会发布的《工业其他行业企业温室气体排放核算方法与报告指南（试行）》，核算了企业温室气体排放量，并填写了相关数据表格</w:t>
      </w:r>
      <w:r>
        <w:rPr>
          <w:rFonts w:hint="default" w:ascii="Times New Roman" w:hAnsi="Times New Roman" w:eastAsia="宋体" w:cs="Times New Roman"/>
          <w:spacing w:val="-10"/>
          <w:lang w:eastAsia="zh-CN"/>
        </w:rPr>
        <w:t>。</w:t>
      </w:r>
      <w:r>
        <w:rPr>
          <w:rFonts w:hint="default" w:ascii="Times New Roman" w:hAnsi="Times New Roman" w:eastAsia="宋体" w:cs="Times New Roman"/>
          <w:spacing w:val="-10"/>
        </w:rPr>
        <w:t>现将有关情况报告如下</w:t>
      </w:r>
      <w:r>
        <w:rPr>
          <w:rFonts w:hint="default" w:ascii="Times New Roman" w:hAnsi="Times New Roman" w:eastAsia="宋体" w:cs="Times New Roman"/>
          <w:spacing w:val="-10"/>
          <w:lang w:eastAsia="zh-CN"/>
        </w:rPr>
        <w:t>：</w:t>
      </w:r>
    </w:p>
    <w:p w14:paraId="3F6C2818"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spacing w:val="-10"/>
          <w:lang w:val="en-US" w:eastAsia="zh-CN"/>
        </w:rPr>
        <w:t>一、企业基本情况</w:t>
      </w:r>
    </w:p>
    <w:tbl>
      <w:tblPr>
        <w:tblStyle w:val="10"/>
        <w:tblW w:w="89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739"/>
        <w:gridCol w:w="1742"/>
        <w:gridCol w:w="763"/>
        <w:gridCol w:w="1504"/>
        <w:gridCol w:w="675"/>
        <w:gridCol w:w="1991"/>
      </w:tblGrid>
      <w:tr w14:paraId="18413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84DFF9">
            <w:pPr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报告主体名称</w:t>
            </w:r>
          </w:p>
        </w:tc>
        <w:tc>
          <w:tcPr>
            <w:tcW w:w="741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969CA8">
            <w:pPr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1"/>
                <w:szCs w:val="21"/>
                <w:lang w:val="en-US" w:eastAsia="zh-CN"/>
              </w:rPr>
              <w:t>杭州申联宝塑实业有限公司</w:t>
            </w:r>
          </w:p>
        </w:tc>
      </w:tr>
      <w:tr w14:paraId="60B14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D87A54">
            <w:pPr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单位性质</w:t>
            </w:r>
          </w:p>
        </w:tc>
        <w:tc>
          <w:tcPr>
            <w:tcW w:w="24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41DC6E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  <w:lang w:val="en-US" w:eastAsia="zh-CN"/>
              </w:rPr>
              <w:t>有限公司</w:t>
            </w:r>
          </w:p>
        </w:tc>
        <w:tc>
          <w:tcPr>
            <w:tcW w:w="22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88C598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  <w:lang w:val="en-US" w:eastAsia="zh-CN"/>
              </w:rPr>
              <w:t>报吿年度</w:t>
            </w:r>
          </w:p>
        </w:tc>
        <w:tc>
          <w:tcPr>
            <w:tcW w:w="26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992475">
            <w:pPr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lang w:val="en-US" w:eastAsia="zh-CN"/>
              </w:rPr>
              <w:t>4</w:t>
            </w:r>
          </w:p>
        </w:tc>
      </w:tr>
      <w:tr w14:paraId="68A7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CEA193">
            <w:pPr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所属行业</w:t>
            </w:r>
          </w:p>
        </w:tc>
        <w:tc>
          <w:tcPr>
            <w:tcW w:w="24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1018A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  <w:lang w:val="en-US" w:eastAsia="zh-CN"/>
              </w:rPr>
              <w:t>C1789 其他产业用纺织制成品制造</w:t>
            </w:r>
          </w:p>
        </w:tc>
        <w:tc>
          <w:tcPr>
            <w:tcW w:w="22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AE318">
            <w:pPr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组织机构代码</w:t>
            </w:r>
          </w:p>
        </w:tc>
        <w:tc>
          <w:tcPr>
            <w:tcW w:w="26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E13F01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1"/>
                <w:szCs w:val="21"/>
                <w:lang w:val="en-US" w:eastAsia="zh-CN"/>
              </w:rPr>
              <w:t>91330109255711963Y</w:t>
            </w:r>
          </w:p>
        </w:tc>
      </w:tr>
      <w:tr w14:paraId="43163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CF5FC2">
            <w:pPr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24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0858A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  <w:lang w:val="en-US" w:eastAsia="zh-CN"/>
              </w:rPr>
              <w:t>陆松娟</w:t>
            </w:r>
          </w:p>
        </w:tc>
        <w:tc>
          <w:tcPr>
            <w:tcW w:w="22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A9C69D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6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63085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  <w:lang w:val="en-US" w:eastAsia="zh-CN"/>
              </w:rPr>
              <w:t>13685762103</w:t>
            </w:r>
          </w:p>
        </w:tc>
      </w:tr>
      <w:tr w14:paraId="48EC1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F9782">
            <w:pPr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详细地址</w:t>
            </w:r>
          </w:p>
        </w:tc>
        <w:tc>
          <w:tcPr>
            <w:tcW w:w="741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876AB7">
            <w:pPr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浙江省杭州市萧山区瓜沥镇群力村</w:t>
            </w:r>
          </w:p>
        </w:tc>
      </w:tr>
      <w:tr w14:paraId="1056B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660BE1">
            <w:pPr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填报负责人</w:t>
            </w:r>
          </w:p>
        </w:tc>
        <w:tc>
          <w:tcPr>
            <w:tcW w:w="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4113D">
            <w:pPr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73C8B">
            <w:pPr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宣良</w:t>
            </w: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F2C85">
            <w:pPr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536B92">
            <w:pPr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04337">
            <w:pPr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19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5404CB">
            <w:pPr>
              <w:jc w:val="center"/>
              <w:rPr>
                <w:rFonts w:hint="eastAsia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1"/>
                <w:szCs w:val="21"/>
                <w:lang w:val="en-US" w:eastAsia="zh-CN"/>
              </w:rPr>
              <w:t>/</w:t>
            </w:r>
          </w:p>
        </w:tc>
      </w:tr>
      <w:tr w14:paraId="128CB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C33B0">
            <w:pPr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BE14C">
            <w:pPr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传真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3F499A">
            <w:pPr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D19775">
            <w:pPr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4CCC1E">
            <w:pPr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13605817831</w:t>
            </w:r>
          </w:p>
        </w:tc>
        <w:tc>
          <w:tcPr>
            <w:tcW w:w="6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2E1AA">
            <w:pPr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5849E6">
            <w:pPr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</w:tr>
      <w:tr w14:paraId="0F687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AE2CDF">
            <w:pPr>
              <w:jc w:val="left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报告主体边界说明</w:t>
            </w:r>
          </w:p>
        </w:tc>
      </w:tr>
      <w:tr w14:paraId="060AE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F1FB35">
            <w:pPr>
              <w:jc w:val="left"/>
              <w:rPr>
                <w:rFonts w:hint="default" w:ascii="Times New Roman" w:hAnsi="Times New Roman" w:eastAsia="楷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以企业法人为边界。进行核算和报告生产统产生的温室气体排放</w:t>
            </w:r>
          </w:p>
        </w:tc>
      </w:tr>
      <w:tr w14:paraId="676BC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2F8B99">
            <w:pPr>
              <w:jc w:val="left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产能或产值变化说明</w:t>
            </w:r>
          </w:p>
        </w:tc>
      </w:tr>
      <w:tr w14:paraId="77046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05C11">
            <w:pPr>
              <w:jc w:val="left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无变化</w:t>
            </w:r>
          </w:p>
        </w:tc>
      </w:tr>
    </w:tbl>
    <w:p w14:paraId="42212FD1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60" w:lineRule="auto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温室气体排放</w:t>
      </w:r>
    </w:p>
    <w:p w14:paraId="585B924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720" w:firstLineChars="0"/>
        <w:jc w:val="both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杭州申联宝塑实业有限公司</w:t>
      </w:r>
      <w:r>
        <w:rPr>
          <w:rFonts w:hint="default" w:ascii="Times New Roman" w:hAnsi="Times New Roman" w:eastAsia="宋体" w:cs="Times New Roman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lang w:val="en-US" w:eastAsia="zh-CN"/>
        </w:rPr>
        <w:t>年度排放涉及的温室气体仅有二氧化碳，</w:t>
      </w:r>
      <w:r>
        <w:rPr>
          <w:rFonts w:hint="eastAsia" w:ascii="Times New Roman" w:hAnsi="Times New Roman" w:eastAsia="宋体" w:cs="Times New Roman"/>
          <w:lang w:val="en-US" w:eastAsia="zh-CN"/>
        </w:rPr>
        <w:t>电网净购入电量为678.22万kWh，</w:t>
      </w:r>
      <w:r>
        <w:rPr>
          <w:rFonts w:hint="default" w:ascii="Times New Roman" w:hAnsi="Times New Roman" w:eastAsia="宋体" w:cs="Times New Roman"/>
          <w:lang w:val="en-US" w:eastAsia="zh-CN"/>
        </w:rPr>
        <w:t>净购入电力对应的排放</w:t>
      </w:r>
      <w:r>
        <w:rPr>
          <w:rFonts w:hint="eastAsia" w:ascii="Times New Roman" w:hAnsi="Times New Roman" w:eastAsia="宋体" w:cs="Times New Roman"/>
          <w:lang w:val="en-US" w:eastAsia="zh-CN"/>
        </w:rPr>
        <w:t>总量</w:t>
      </w:r>
      <w:r>
        <w:rPr>
          <w:rFonts w:hint="default" w:ascii="Times New Roman" w:hAnsi="Times New Roman" w:eastAsia="宋体" w:cs="Times New Roman"/>
          <w:lang w:val="en-US" w:eastAsia="zh-CN"/>
        </w:rPr>
        <w:t>为</w:t>
      </w:r>
      <w:r>
        <w:rPr>
          <w:rFonts w:hint="eastAsia" w:ascii="Times New Roman" w:hAnsi="Times New Roman" w:eastAsia="宋体" w:cs="Times New Roman"/>
          <w:lang w:val="en-US" w:eastAsia="zh-CN"/>
        </w:rPr>
        <w:t>3639.33</w:t>
      </w:r>
      <w:r>
        <w:rPr>
          <w:rFonts w:hint="default" w:ascii="Times New Roman" w:hAnsi="Times New Roman" w:eastAsia="宋体" w:cs="Times New Roman"/>
          <w:lang w:val="en-US" w:eastAsia="zh-CN"/>
        </w:rPr>
        <w:t>tCO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lang w:val="en-US" w:eastAsia="zh-CN"/>
        </w:rPr>
        <w:t>。</w:t>
      </w:r>
    </w:p>
    <w:p w14:paraId="65B22970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60" w:lineRule="auto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活动水平数据及来源说明</w:t>
      </w:r>
    </w:p>
    <w:p w14:paraId="44CC269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720" w:firstLineChars="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以外购电力以公司202</w:t>
      </w:r>
      <w:r>
        <w:rPr>
          <w:rFonts w:hint="eastAsia" w:ascii="Times New Roman" w:hAnsi="Times New Roman" w:eastAsia="宋体" w:cs="Times New Roman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lang w:val="en-US" w:eastAsia="zh-CN"/>
        </w:rPr>
        <w:t>年度实际消耗量作为数据来源。</w:t>
      </w:r>
    </w:p>
    <w:p w14:paraId="5E5A97A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四、排放因子数据及来源说明</w:t>
      </w:r>
    </w:p>
    <w:p w14:paraId="7E81D59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720" w:firstLineChars="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排放因子数据采用《工业其他行业企业温室气体排放核算方法与报告指南（试行）》的推荐值。</w:t>
      </w:r>
    </w:p>
    <w:p w14:paraId="5AA7D97F">
      <w:pPr>
        <w:pStyle w:val="8"/>
        <w:bidi w:val="0"/>
        <w:spacing w:line="240" w:lineRule="auto"/>
        <w:rPr>
          <w:rFonts w:hint="default" w:ascii="Times New Roman" w:hAnsi="Times New Roman" w:eastAsia="宋体" w:cs="Times New Roman"/>
          <w:b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lang w:val="en-US" w:eastAsia="zh-CN"/>
        </w:rPr>
        <w:t>附表1报告主体温室气体排放总量</w:t>
      </w:r>
    </w:p>
    <w:tbl>
      <w:tblPr>
        <w:tblStyle w:val="10"/>
        <w:tblW w:w="898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8"/>
        <w:gridCol w:w="4179"/>
        <w:gridCol w:w="1843"/>
      </w:tblGrid>
      <w:tr w14:paraId="0D3C2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1EC10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工业其他行业企业温室气体排放汇总</w:t>
            </w:r>
          </w:p>
        </w:tc>
      </w:tr>
      <w:tr w14:paraId="69B59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1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F0AE4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D12B5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CO₂当量(t)</w:t>
            </w:r>
          </w:p>
        </w:tc>
      </w:tr>
      <w:tr w14:paraId="7E977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1DFFC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4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7BDA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0D18D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3639.33</w:t>
            </w:r>
          </w:p>
        </w:tc>
      </w:tr>
      <w:tr w14:paraId="31CE2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9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A6A8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燃料燃烧排放</w:t>
            </w:r>
          </w:p>
        </w:tc>
        <w:tc>
          <w:tcPr>
            <w:tcW w:w="4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55CF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小计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F6FF1E"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</w:t>
            </w:r>
          </w:p>
        </w:tc>
      </w:tr>
      <w:tr w14:paraId="68AD8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9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A6358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FAF0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天然气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燃烧CO₂排放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AFBB9"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</w:t>
            </w:r>
          </w:p>
        </w:tc>
      </w:tr>
      <w:tr w14:paraId="7294E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9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97D5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工业过程排放</w:t>
            </w:r>
          </w:p>
        </w:tc>
        <w:tc>
          <w:tcPr>
            <w:tcW w:w="4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64EC7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小计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4E6F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</w:t>
            </w:r>
          </w:p>
        </w:tc>
      </w:tr>
      <w:tr w14:paraId="158CF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9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2A9B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7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8E4B9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工业过程产生的CO₂排放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701B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</w:t>
            </w:r>
          </w:p>
        </w:tc>
      </w:tr>
      <w:tr w14:paraId="0479F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A6CE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净购入电力、热力消费产生的排放</w:t>
            </w: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E89E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小计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4FB95"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3639.33</w:t>
            </w:r>
          </w:p>
        </w:tc>
      </w:tr>
      <w:tr w14:paraId="6E871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7C1B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6893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净购入电力产生的CO₂排放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33FBE1">
            <w:pPr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3639.33</w:t>
            </w:r>
          </w:p>
        </w:tc>
      </w:tr>
      <w:tr w14:paraId="41B03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DD4F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A8DF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净购入热力产生的CO₂排放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E10AC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</w:t>
            </w:r>
          </w:p>
        </w:tc>
      </w:tr>
    </w:tbl>
    <w:p w14:paraId="29D3E272">
      <w:pPr>
        <w:pStyle w:val="8"/>
        <w:bidi w:val="0"/>
        <w:spacing w:line="24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附表2报告主体温室气体排放总量</w:t>
      </w:r>
    </w:p>
    <w:tbl>
      <w:tblPr>
        <w:tblStyle w:val="10"/>
        <w:tblW w:w="946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516"/>
        <w:gridCol w:w="1497"/>
        <w:gridCol w:w="1484"/>
        <w:gridCol w:w="2414"/>
        <w:gridCol w:w="1711"/>
      </w:tblGrid>
      <w:tr w14:paraId="05637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46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EC6D92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工业其他行业±企业净购入电力的隐含CO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排放</w:t>
            </w:r>
          </w:p>
        </w:tc>
      </w:tr>
      <w:tr w14:paraId="24D6C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12D60CC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F33E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净购入使用量(MWh)</w:t>
            </w:r>
          </w:p>
        </w:tc>
        <w:tc>
          <w:tcPr>
            <w:tcW w:w="1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4E9A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购入量 (MWh)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2E21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外销量 (MWh)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2E9B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净购入CO2排放因子 (tCO2/MWh)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89EE4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tCO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(t)</w:t>
            </w:r>
          </w:p>
        </w:tc>
      </w:tr>
      <w:tr w14:paraId="3891D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395F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电力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AEC2C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6782.2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928FD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6782.2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B155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A0F06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0.5366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4BE4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3639.33</w:t>
            </w:r>
          </w:p>
        </w:tc>
      </w:tr>
      <w:tr w14:paraId="235BF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302D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3D8B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3639.33</w:t>
            </w:r>
          </w:p>
        </w:tc>
      </w:tr>
    </w:tbl>
    <w:p w14:paraId="7B26DE9C">
      <w:pPr>
        <w:pStyle w:val="2"/>
        <w:numPr>
          <w:ilvl w:val="0"/>
          <w:numId w:val="0"/>
        </w:numPr>
        <w:ind w:right="0" w:rightChars="0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5" w:type="default"/>
      <w:pgSz w:w="11910" w:h="16840"/>
      <w:pgMar w:top="1520" w:right="1400" w:bottom="1440" w:left="1680" w:header="0" w:footer="122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253E4">
    <w:pPr>
      <w:pStyle w:val="3"/>
      <w:spacing w:line="14" w:lineRule="auto"/>
      <w:rPr>
        <w:sz w:val="17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9758680</wp:posOffset>
              </wp:positionV>
              <wp:extent cx="198120" cy="14478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71AFCB">
                          <w:pPr>
                            <w:spacing w:before="0" w:line="228" w:lineRule="exact"/>
                            <w:ind w:left="60" w:right="0" w:firstLine="0"/>
                            <w:jc w:val="left"/>
                            <w:rPr>
                              <w:rFonts w:ascii="等线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等线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95pt;margin-top:768.4pt;height:11.4pt;width:15.6pt;mso-position-horizontal-relative:page;mso-position-vertical-relative:page;z-index:-251656192;mso-width-relative:page;mso-height-relative:page;" filled="f" stroked="f" coordsize="21600,21600" o:gfxdata="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67tj4NoAAAANAQAADwAAAAAAAAABACAAAAAiAAAAZHJzL2Rvd25yZXYueG1sUEsB&#10;AhQAFAAAAAgAh07iQJBYz7O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271AFCB">
                    <w:pPr>
                      <w:spacing w:before="0" w:line="228" w:lineRule="exact"/>
                      <w:ind w:left="60" w:right="0" w:firstLine="0"/>
                      <w:jc w:val="left"/>
                      <w:rPr>
                        <w:rFonts w:ascii="等线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等线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4A3ACC"/>
    <w:multiLevelType w:val="singleLevel"/>
    <w:tmpl w:val="B14A3AC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NDQ0ZTY5MjJiNTBiNjQ4YTA1NTk4ZjIzOWQ5OTYifQ=="/>
    <w:docVar w:name="KSO_WPS_MARK_KEY" w:val="7dbee02e-a52f-4cce-a3d9-88dfab20bd5c"/>
  </w:docVars>
  <w:rsids>
    <w:rsidRoot w:val="00000000"/>
    <w:rsid w:val="01D67B28"/>
    <w:rsid w:val="02632698"/>
    <w:rsid w:val="02AB3D24"/>
    <w:rsid w:val="03802B4E"/>
    <w:rsid w:val="04C87AC8"/>
    <w:rsid w:val="0888277C"/>
    <w:rsid w:val="12F257B2"/>
    <w:rsid w:val="15A35C9A"/>
    <w:rsid w:val="1AC70DC0"/>
    <w:rsid w:val="1F102F1C"/>
    <w:rsid w:val="1FC90D06"/>
    <w:rsid w:val="20652F02"/>
    <w:rsid w:val="23E60561"/>
    <w:rsid w:val="25563408"/>
    <w:rsid w:val="25993EA3"/>
    <w:rsid w:val="28DF4A24"/>
    <w:rsid w:val="2B605BA5"/>
    <w:rsid w:val="340E33BD"/>
    <w:rsid w:val="35B60509"/>
    <w:rsid w:val="35BE36F7"/>
    <w:rsid w:val="368E5BE7"/>
    <w:rsid w:val="36D07CE7"/>
    <w:rsid w:val="3DA1753B"/>
    <w:rsid w:val="3E803AC1"/>
    <w:rsid w:val="3F05289B"/>
    <w:rsid w:val="40ED1D36"/>
    <w:rsid w:val="44A556FF"/>
    <w:rsid w:val="452173E6"/>
    <w:rsid w:val="460D15ED"/>
    <w:rsid w:val="46605E56"/>
    <w:rsid w:val="47484DA7"/>
    <w:rsid w:val="4B85592A"/>
    <w:rsid w:val="4E732C51"/>
    <w:rsid w:val="4F2D79CB"/>
    <w:rsid w:val="50732D96"/>
    <w:rsid w:val="512F1E1B"/>
    <w:rsid w:val="51956215"/>
    <w:rsid w:val="5750247F"/>
    <w:rsid w:val="5A194FF0"/>
    <w:rsid w:val="5A1B2F60"/>
    <w:rsid w:val="5E882C5D"/>
    <w:rsid w:val="656913FD"/>
    <w:rsid w:val="6AF55A28"/>
    <w:rsid w:val="6D637463"/>
    <w:rsid w:val="6E286C63"/>
    <w:rsid w:val="72660E5E"/>
    <w:rsid w:val="749C6678"/>
    <w:rsid w:val="753B7468"/>
    <w:rsid w:val="78350405"/>
    <w:rsid w:val="78915DB9"/>
    <w:rsid w:val="7A683C0A"/>
    <w:rsid w:val="7A791092"/>
    <w:rsid w:val="7B0D5043"/>
    <w:rsid w:val="7B5C335F"/>
    <w:rsid w:val="7BEA798F"/>
    <w:rsid w:val="7D2A1311"/>
    <w:rsid w:val="7F6E28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spacing w:before="31"/>
      <w:ind w:right="277"/>
      <w:jc w:val="center"/>
      <w:outlineLvl w:val="1"/>
    </w:pPr>
    <w:rPr>
      <w:rFonts w:ascii="黑体" w:hAnsi="黑体" w:eastAsia="黑体" w:cs="黑体"/>
      <w:sz w:val="32"/>
      <w:szCs w:val="32"/>
      <w:lang w:val="zh-CN" w:eastAsia="zh-CN" w:bidi="zh-CN"/>
    </w:rPr>
  </w:style>
  <w:style w:type="paragraph" w:styleId="5">
    <w:name w:val="heading 2"/>
    <w:basedOn w:val="1"/>
    <w:next w:val="1"/>
    <w:qFormat/>
    <w:uiPriority w:val="1"/>
    <w:pPr>
      <w:spacing w:before="211"/>
      <w:ind w:left="120"/>
      <w:outlineLvl w:val="2"/>
    </w:pPr>
    <w:rPr>
      <w:rFonts w:ascii="仿宋_GB2312" w:hAnsi="仿宋_GB2312" w:eastAsia="仿宋_GB2312" w:cs="仿宋_GB2312"/>
      <w:b/>
      <w:bCs/>
      <w:sz w:val="28"/>
      <w:szCs w:val="28"/>
      <w:lang w:val="zh-CN" w:eastAsia="zh-CN" w:bidi="zh-CN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1"/>
    <w:rPr>
      <w:rFonts w:ascii="仿宋_GB2312" w:hAnsi="仿宋_GB2312" w:eastAsia="仿宋_GB2312" w:cs="仿宋_GB2312"/>
      <w:sz w:val="28"/>
      <w:szCs w:val="28"/>
      <w:lang w:val="zh-CN" w:eastAsia="zh-CN" w:bidi="zh-CN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rPr>
      <w:lang w:val="zh-CN" w:eastAsia="zh-CN" w:bidi="zh-CN"/>
    </w:rPr>
  </w:style>
  <w:style w:type="paragraph" w:customStyle="1" w:styleId="14">
    <w:name w:val="Table Paragraph"/>
    <w:basedOn w:val="1"/>
    <w:qFormat/>
    <w:uiPriority w:val="1"/>
    <w:pPr>
      <w:ind w:left="200"/>
      <w:jc w:val="center"/>
    </w:pPr>
    <w:rPr>
      <w:rFonts w:ascii="仿宋_GB2312" w:hAnsi="仿宋_GB2312" w:eastAsia="仿宋_GB2312" w:cs="仿宋_GB2312"/>
      <w:lang w:val="zh-CN" w:eastAsia="zh-CN" w:bidi="zh-CN"/>
    </w:rPr>
  </w:style>
  <w:style w:type="character" w:customStyle="1" w:styleId="15">
    <w:name w:val="font01"/>
    <w:basedOn w:val="11"/>
    <w:qFormat/>
    <w:uiPriority w:val="0"/>
    <w:rPr>
      <w:rFonts w:hint="default" w:ascii="MingLiU" w:hAnsi="MingLiU" w:eastAsia="MingLiU" w:cs="MingLiU"/>
      <w:color w:val="000000"/>
      <w:sz w:val="12"/>
      <w:szCs w:val="12"/>
      <w:u w:val="none"/>
    </w:rPr>
  </w:style>
  <w:style w:type="character" w:customStyle="1" w:styleId="16">
    <w:name w:val="font2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12"/>
      <w:szCs w:val="12"/>
      <w:u w:val="none"/>
    </w:rPr>
  </w:style>
  <w:style w:type="character" w:customStyle="1" w:styleId="17">
    <w:name w:val="font11"/>
    <w:basedOn w:val="11"/>
    <w:qFormat/>
    <w:uiPriority w:val="0"/>
    <w:rPr>
      <w:rFonts w:hint="default" w:ascii="Arial" w:hAnsi="Arial" w:cs="Arial"/>
      <w:b/>
      <w:bCs/>
      <w:color w:val="000000"/>
      <w:sz w:val="12"/>
      <w:szCs w:val="12"/>
      <w:u w:val="none"/>
    </w:rPr>
  </w:style>
  <w:style w:type="character" w:customStyle="1" w:styleId="18">
    <w:name w:val="font31"/>
    <w:basedOn w:val="11"/>
    <w:qFormat/>
    <w:uiPriority w:val="0"/>
    <w:rPr>
      <w:rFonts w:ascii="Arial" w:hAnsi="Arial" w:cs="Arial"/>
      <w:b/>
      <w:bCs/>
      <w:color w:val="000000"/>
      <w:sz w:val="12"/>
      <w:szCs w:val="12"/>
      <w:u w:val="none"/>
    </w:rPr>
  </w:style>
  <w:style w:type="character" w:customStyle="1" w:styleId="19">
    <w:name w:val="font51"/>
    <w:basedOn w:val="11"/>
    <w:qFormat/>
    <w:uiPriority w:val="0"/>
    <w:rPr>
      <w:rFonts w:hint="default" w:ascii="MingLiU" w:hAnsi="MingLiU" w:eastAsia="MingLiU" w:cs="MingLiU"/>
      <w:i/>
      <w:iCs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742</Words>
  <Characters>965</Characters>
  <TotalTime>0</TotalTime>
  <ScaleCrop>false</ScaleCrop>
  <LinksUpToDate>false</LinksUpToDate>
  <CharactersWithSpaces>968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2021-03-30T13:15:00Z</dcterms:created>
  <dc:creator>MAIBENBEN</dc:creator>
  <cp:lastModifiedBy>Cherish</cp:lastModifiedBy>
  <cp:lastPrinted>2021-08-27T04:25:00Z</cp:lastPrinted>
  <dcterms:modified xsi:type="dcterms:W3CDTF">2025-05-16T04:57:30Z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Microsoft® Word 适用于 Microsoft 365</vt:lpwstr>
  </property>
  <property fmtid="{D5CDD505-2E9C-101B-9397-08002B2CF9AE}" pid="4" name="LastSaved">
    <vt:filetime>2021-03-30T00:00:00Z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D49BBBB2C97A4459972F8A0D0350B0D7_13</vt:lpwstr>
  </property>
  <property fmtid="{D5CDD505-2E9C-101B-9397-08002B2CF9AE}" pid="7" name="KSOTemplateDocerSaveRecord">
    <vt:lpwstr>eyJoZGlkIjoiZGQzZjZmZjFmYjU2YTE1OGQ3NDFmNGNkMDQ3ZGRiOTgiLCJ1c2VySWQiOiIyNjkyMjU1NTIifQ==</vt:lpwstr>
  </property>
</Properties>
</file>